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26D" w:rsidRDefault="00F87FF3">
      <w:pPr>
        <w:overflowPunct w:val="0"/>
        <w:spacing w:line="59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49726D" w:rsidRDefault="0049726D">
      <w:pPr>
        <w:overflowPunct w:val="0"/>
        <w:snapToGrid w:val="0"/>
        <w:spacing w:line="590" w:lineRule="exact"/>
        <w:jc w:val="center"/>
        <w:rPr>
          <w:rFonts w:eastAsia="黑体"/>
          <w:kern w:val="0"/>
          <w:sz w:val="32"/>
          <w:szCs w:val="32"/>
        </w:rPr>
      </w:pPr>
    </w:p>
    <w:p w:rsidR="0049726D" w:rsidRDefault="00F87FF3">
      <w:pPr>
        <w:overflowPunct w:val="0"/>
        <w:snapToGrid w:val="0"/>
        <w:spacing w:line="590" w:lineRule="exact"/>
        <w:jc w:val="center"/>
        <w:rPr>
          <w:rFonts w:eastAsia="方正小标宋简体"/>
          <w:sz w:val="44"/>
          <w:szCs w:val="44"/>
        </w:rPr>
      </w:pPr>
      <w:bookmarkStart w:id="0" w:name="_Hlk135235439"/>
      <w:r>
        <w:rPr>
          <w:rFonts w:eastAsia="方正小标宋简体"/>
          <w:sz w:val="44"/>
          <w:szCs w:val="44"/>
        </w:rPr>
        <w:t>新研制尚未列入《分类目录》医疗器械</w:t>
      </w:r>
    </w:p>
    <w:p w:rsidR="0049726D" w:rsidRDefault="00F87FF3">
      <w:pPr>
        <w:overflowPunct w:val="0"/>
        <w:snapToGrid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分类界定工作程序</w:t>
      </w:r>
    </w:p>
    <w:p w:rsidR="0049726D" w:rsidRDefault="0049726D">
      <w:pPr>
        <w:overflowPunct w:val="0"/>
        <w:snapToGrid w:val="0"/>
        <w:spacing w:line="590" w:lineRule="exact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一、提交申请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申请人</w:t>
      </w:r>
      <w:r>
        <w:rPr>
          <w:rFonts w:eastAsia="仿宋_GB2312" w:hint="eastAsia"/>
          <w:kern w:val="0"/>
          <w:sz w:val="32"/>
          <w:szCs w:val="32"/>
        </w:rPr>
        <w:t>登录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中国食品药品检定研究院（国家药品监督管理局医疗器械标准管理中心）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网站（</w:t>
      </w:r>
      <w:r>
        <w:rPr>
          <w:rFonts w:eastAsia="仿宋_GB2312"/>
          <w:kern w:val="0"/>
          <w:sz w:val="32"/>
          <w:szCs w:val="32"/>
        </w:rPr>
        <w:t>https://www.nifdc.org.cn</w:t>
      </w:r>
      <w:r>
        <w:rPr>
          <w:rFonts w:eastAsia="仿宋_GB2312"/>
          <w:kern w:val="0"/>
          <w:sz w:val="32"/>
          <w:szCs w:val="32"/>
        </w:rPr>
        <w:t>），依次进入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 w:hint="eastAsia"/>
          <w:kern w:val="0"/>
          <w:sz w:val="32"/>
          <w:szCs w:val="32"/>
        </w:rPr>
        <w:t>业务</w:t>
      </w:r>
      <w:r>
        <w:rPr>
          <w:rFonts w:eastAsia="仿宋_GB2312"/>
          <w:kern w:val="0"/>
          <w:sz w:val="32"/>
          <w:szCs w:val="32"/>
        </w:rPr>
        <w:t>大厅</w:t>
      </w:r>
      <w:r>
        <w:rPr>
          <w:rFonts w:eastAsia="仿宋_GB2312"/>
          <w:kern w:val="0"/>
          <w:sz w:val="32"/>
          <w:szCs w:val="32"/>
        </w:rPr>
        <w:t>”--“</w:t>
      </w:r>
      <w:r>
        <w:rPr>
          <w:rFonts w:eastAsia="仿宋_GB2312"/>
          <w:kern w:val="0"/>
          <w:sz w:val="32"/>
          <w:szCs w:val="32"/>
        </w:rPr>
        <w:t>医疗器械标准与分类管理</w:t>
      </w:r>
      <w:r>
        <w:rPr>
          <w:rFonts w:eastAsia="仿宋_GB2312"/>
          <w:kern w:val="0"/>
          <w:sz w:val="32"/>
          <w:szCs w:val="32"/>
        </w:rPr>
        <w:t>”--“</w:t>
      </w:r>
      <w:r>
        <w:rPr>
          <w:rFonts w:eastAsia="仿宋_GB2312"/>
          <w:kern w:val="0"/>
          <w:sz w:val="32"/>
          <w:szCs w:val="32"/>
        </w:rPr>
        <w:t>医疗器械分类界定信息系统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页面，在线</w:t>
      </w:r>
      <w:r>
        <w:rPr>
          <w:rFonts w:eastAsia="仿宋_GB2312"/>
          <w:sz w:val="32"/>
          <w:szCs w:val="32"/>
        </w:rPr>
        <w:t>提交</w:t>
      </w:r>
      <w:r>
        <w:rPr>
          <w:rFonts w:eastAsia="仿宋_GB2312"/>
          <w:kern w:val="0"/>
          <w:sz w:val="32"/>
          <w:szCs w:val="32"/>
        </w:rPr>
        <w:t>申请资料。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首次</w:t>
      </w:r>
      <w:r>
        <w:rPr>
          <w:rFonts w:eastAsia="仿宋_GB2312" w:hint="eastAsia"/>
          <w:kern w:val="0"/>
          <w:sz w:val="32"/>
          <w:szCs w:val="32"/>
        </w:rPr>
        <w:t>登录</w:t>
      </w:r>
      <w:r>
        <w:rPr>
          <w:rFonts w:eastAsia="仿宋_GB2312"/>
          <w:kern w:val="0"/>
          <w:sz w:val="32"/>
          <w:szCs w:val="32"/>
        </w:rPr>
        <w:t>系统申请分类界定时，须按照系统提示注册，按照要求在线填写相关资料和上传文件。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二、受理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sz w:val="32"/>
          <w:szCs w:val="32"/>
          <w:lang w:val="en"/>
        </w:rPr>
      </w:pPr>
      <w:r>
        <w:rPr>
          <w:rFonts w:eastAsia="仿宋_GB2312"/>
          <w:kern w:val="0"/>
          <w:sz w:val="32"/>
          <w:szCs w:val="32"/>
        </w:rPr>
        <w:t>器械标管中心收到分类界定申请资料后，对于申请产品确实属于本文件规定</w:t>
      </w:r>
      <w:r>
        <w:rPr>
          <w:rFonts w:eastAsia="仿宋_GB2312"/>
          <w:sz w:val="32"/>
          <w:szCs w:val="32"/>
        </w:rPr>
        <w:t>新研制的尚未列入《分类目录》的医疗器械</w:t>
      </w:r>
      <w:r>
        <w:rPr>
          <w:rFonts w:eastAsia="仿宋_GB2312"/>
          <w:sz w:val="32"/>
          <w:szCs w:val="32"/>
          <w:lang w:val="en"/>
        </w:rPr>
        <w:t>，且</w:t>
      </w:r>
      <w:r>
        <w:rPr>
          <w:rFonts w:eastAsia="仿宋_GB2312"/>
          <w:kern w:val="0"/>
          <w:sz w:val="32"/>
          <w:szCs w:val="32"/>
        </w:rPr>
        <w:t>申请资料齐全、符合形式要求的，予以受理。对于申请产品资料不齐全、不符合形式要求的，不予受理。对于申请产品不属于本文件规定</w:t>
      </w:r>
      <w:r>
        <w:rPr>
          <w:rFonts w:eastAsia="仿宋_GB2312"/>
          <w:sz w:val="32"/>
          <w:szCs w:val="32"/>
        </w:rPr>
        <w:t>新研制的尚未列入《分类目录》的医疗器械的</w:t>
      </w:r>
      <w:r>
        <w:rPr>
          <w:rFonts w:eastAsia="仿宋_GB2312"/>
          <w:sz w:val="32"/>
          <w:szCs w:val="32"/>
          <w:lang w:val="en"/>
        </w:rPr>
        <w:t>，予以退回。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三、办理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（一）综合研判：器械标管中心根据申请人提交的申请资料进行综合研究判定。研判过程中，需要补正资料的，通过补正资</w:t>
      </w:r>
      <w:r>
        <w:rPr>
          <w:rFonts w:eastAsia="仿宋_GB2312"/>
          <w:kern w:val="0"/>
          <w:sz w:val="32"/>
          <w:szCs w:val="32"/>
        </w:rPr>
        <w:lastRenderedPageBreak/>
        <w:t>料通知单一次告知需要补正的全部内容。对于分类界定难度大、技术复杂、存在异议的产品，可以组织专家咨询、组织相关单位研提意见，必要时，可以请申请人参会陈述产品情况。在此基础上，结合既往分类及注册、监管情况等进行研究，明确分类界定意见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（二）</w:t>
      </w:r>
      <w:r>
        <w:rPr>
          <w:rFonts w:eastAsia="仿宋_GB2312"/>
          <w:sz w:val="32"/>
          <w:szCs w:val="32"/>
        </w:rPr>
        <w:t>告知：</w:t>
      </w:r>
      <w:r>
        <w:rPr>
          <w:rFonts w:eastAsia="仿宋_GB2312"/>
          <w:kern w:val="0"/>
          <w:sz w:val="32"/>
          <w:szCs w:val="32"/>
        </w:rPr>
        <w:t>器械标管中心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/>
          <w:kern w:val="0"/>
          <w:sz w:val="32"/>
          <w:szCs w:val="32"/>
        </w:rPr>
        <w:t>研究意见，直接在分类界定信息系统告知申请人。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四</w:t>
      </w:r>
      <w:r>
        <w:rPr>
          <w:rFonts w:eastAsia="黑体"/>
          <w:kern w:val="0"/>
          <w:sz w:val="32"/>
          <w:szCs w:val="32"/>
        </w:rPr>
        <w:t>、时限要求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器械标管中心受理时限为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个工作日。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器械标管中心受理分类界定申请后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个工作日内告知分类界定结果。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需要补正资料的，申请人应当在分类</w:t>
      </w:r>
      <w:r>
        <w:rPr>
          <w:rFonts w:eastAsia="仿宋_GB2312" w:hint="eastAsia"/>
          <w:kern w:val="0"/>
          <w:sz w:val="32"/>
          <w:szCs w:val="32"/>
        </w:rPr>
        <w:t>界定</w:t>
      </w:r>
      <w:r>
        <w:rPr>
          <w:rFonts w:eastAsia="仿宋_GB2312"/>
          <w:kern w:val="0"/>
          <w:sz w:val="32"/>
          <w:szCs w:val="32"/>
        </w:rPr>
        <w:t>补正通知发出之日起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eastAsia="仿宋_GB2312"/>
          <w:kern w:val="0"/>
          <w:sz w:val="32"/>
          <w:szCs w:val="32"/>
        </w:rPr>
        <w:t>个工作日内，按照补正通知的要求一次提供补充资料。逾期未提交补充资料或者补充资料不符合要求的，在分类界定信息系统内退回分类界定申请</w:t>
      </w:r>
      <w:r>
        <w:rPr>
          <w:rFonts w:eastAsia="仿宋_GB2312"/>
          <w:sz w:val="32"/>
          <w:szCs w:val="32"/>
          <w:lang w:val="en"/>
        </w:rPr>
        <w:t>。</w:t>
      </w:r>
      <w:r>
        <w:rPr>
          <w:rFonts w:eastAsia="仿宋_GB2312"/>
          <w:kern w:val="0"/>
          <w:sz w:val="32"/>
          <w:szCs w:val="32"/>
        </w:rPr>
        <w:t>申请人完善相关申请资料后可重新申请。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专家</w:t>
      </w:r>
      <w:r>
        <w:rPr>
          <w:rFonts w:eastAsia="仿宋_GB2312" w:hint="eastAsia"/>
          <w:kern w:val="0"/>
          <w:sz w:val="32"/>
          <w:szCs w:val="32"/>
        </w:rPr>
        <w:t>咨询</w:t>
      </w:r>
      <w:r>
        <w:rPr>
          <w:rFonts w:eastAsia="仿宋_GB2312"/>
          <w:kern w:val="0"/>
          <w:sz w:val="32"/>
          <w:szCs w:val="32"/>
        </w:rPr>
        <w:t>、相关部门沟通协调及研提意见、申请人补充资料等环节所需时间不计算在分类界定工作时限内。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五、其他</w:t>
      </w:r>
    </w:p>
    <w:p w:rsidR="0049726D" w:rsidRDefault="00F87FF3">
      <w:pPr>
        <w:overflowPunct w:val="0"/>
        <w:snapToGrid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器械标管中心应当公布联系方式。申请人若对产品分类界定结果有异议或者疑问，可与器械标管中心沟通交流。若仍有异议，申请人可进一步完善资料后重新提交分类界定申请。</w:t>
      </w:r>
    </w:p>
    <w:p w:rsidR="0049726D" w:rsidRDefault="00F87FF3">
      <w:pPr>
        <w:overflowPunct w:val="0"/>
        <w:spacing w:line="59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对于有证据表明分类</w:t>
      </w:r>
      <w:r>
        <w:rPr>
          <w:rFonts w:eastAsia="仿宋_GB2312" w:hint="eastAsia"/>
          <w:kern w:val="0"/>
          <w:sz w:val="32"/>
          <w:szCs w:val="32"/>
        </w:rPr>
        <w:t>界定</w:t>
      </w:r>
      <w:r>
        <w:rPr>
          <w:rFonts w:eastAsia="仿宋_GB2312"/>
          <w:kern w:val="0"/>
          <w:sz w:val="32"/>
          <w:szCs w:val="32"/>
        </w:rPr>
        <w:t>申请资料可能存在虚假的，器械标管中心可以中止办理分类界定；经核实后，对于不存在虚假的，继续办理；对于存在虚假的，在分类界定信息系统内</w:t>
      </w:r>
      <w:r>
        <w:rPr>
          <w:rFonts w:eastAsia="仿宋_GB2312" w:hint="eastAsia"/>
          <w:kern w:val="0"/>
          <w:sz w:val="32"/>
          <w:szCs w:val="32"/>
        </w:rPr>
        <w:t>终止该</w:t>
      </w:r>
      <w:r>
        <w:rPr>
          <w:rFonts w:eastAsia="仿宋_GB2312"/>
          <w:kern w:val="0"/>
          <w:sz w:val="32"/>
          <w:szCs w:val="32"/>
        </w:rPr>
        <w:t>分类界定申请。</w:t>
      </w:r>
    </w:p>
    <w:p w:rsidR="0049726D" w:rsidRDefault="0049726D">
      <w:pPr>
        <w:overflowPunct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49726D" w:rsidRDefault="0049726D">
      <w:pPr>
        <w:overflowPunct w:val="0"/>
        <w:spacing w:line="560" w:lineRule="exact"/>
        <w:rPr>
          <w:rFonts w:eastAsia="仿宋_GB2312"/>
          <w:kern w:val="0"/>
          <w:sz w:val="32"/>
          <w:szCs w:val="32"/>
        </w:rPr>
      </w:pPr>
    </w:p>
    <w:p w:rsidR="0049726D" w:rsidRDefault="0049726D" w:rsidP="008A680C">
      <w:pPr>
        <w:overflowPunct w:val="0"/>
        <w:snapToGrid w:val="0"/>
        <w:spacing w:line="560" w:lineRule="exact"/>
        <w:jc w:val="left"/>
        <w:rPr>
          <w:rFonts w:ascii="仿宋_GB2312" w:eastAsia="仿宋_GB2312" w:hAnsi="华文仿宋"/>
          <w:sz w:val="32"/>
          <w:szCs w:val="32"/>
        </w:rPr>
      </w:pPr>
      <w:bookmarkStart w:id="1" w:name="_GoBack"/>
      <w:bookmarkEnd w:id="0"/>
      <w:bookmarkEnd w:id="1"/>
    </w:p>
    <w:p w:rsidR="00F87FF3" w:rsidRDefault="00F87FF3">
      <w:pPr>
        <w:rPr>
          <w:rFonts w:ascii="仿宋_GB2312" w:eastAsia="仿宋_GB2312" w:hAnsi="华文仿宋"/>
          <w:sz w:val="32"/>
          <w:szCs w:val="32"/>
        </w:rPr>
      </w:pPr>
    </w:p>
    <w:sectPr w:rsidR="00F87FF3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BB" w:rsidRDefault="007978BB">
      <w:r>
        <w:separator/>
      </w:r>
    </w:p>
  </w:endnote>
  <w:endnote w:type="continuationSeparator" w:id="0">
    <w:p w:rsidR="007978BB" w:rsidRDefault="00797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26D" w:rsidRDefault="00C857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726D" w:rsidRDefault="00F87FF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A680C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49726D" w:rsidRDefault="00F87FF3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A680C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BB" w:rsidRDefault="007978BB">
      <w:r>
        <w:separator/>
      </w:r>
    </w:p>
  </w:footnote>
  <w:footnote w:type="continuationSeparator" w:id="0">
    <w:p w:rsidR="007978BB" w:rsidRDefault="00797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D2A4EF"/>
    <w:rsid w:val="9DFF1689"/>
    <w:rsid w:val="9EDF9055"/>
    <w:rsid w:val="A7B657AF"/>
    <w:rsid w:val="AA768256"/>
    <w:rsid w:val="AFEF1C9F"/>
    <w:rsid w:val="AFFE28B5"/>
    <w:rsid w:val="B64F35F9"/>
    <w:rsid w:val="B7FF51E8"/>
    <w:rsid w:val="BAFBDFFC"/>
    <w:rsid w:val="BB4DA838"/>
    <w:rsid w:val="BBF96E03"/>
    <w:rsid w:val="BBFD2EB1"/>
    <w:rsid w:val="BC6BDFF2"/>
    <w:rsid w:val="BF85CD30"/>
    <w:rsid w:val="BFFB20A9"/>
    <w:rsid w:val="BFFED062"/>
    <w:rsid w:val="C5B5CA21"/>
    <w:rsid w:val="D4FF0E71"/>
    <w:rsid w:val="DDAF2858"/>
    <w:rsid w:val="DDD70DCD"/>
    <w:rsid w:val="DDDCB9E8"/>
    <w:rsid w:val="DDFEF50B"/>
    <w:rsid w:val="DEFE2875"/>
    <w:rsid w:val="DFF6A5F9"/>
    <w:rsid w:val="DFFF999C"/>
    <w:rsid w:val="DFFFC652"/>
    <w:rsid w:val="E42B6D8C"/>
    <w:rsid w:val="EBBE0409"/>
    <w:rsid w:val="ED258CC1"/>
    <w:rsid w:val="EE773D43"/>
    <w:rsid w:val="EEFE8454"/>
    <w:rsid w:val="F3CF6270"/>
    <w:rsid w:val="F3EEAB96"/>
    <w:rsid w:val="F79E96CA"/>
    <w:rsid w:val="F7FE65FF"/>
    <w:rsid w:val="FAFD8619"/>
    <w:rsid w:val="FB7E4E86"/>
    <w:rsid w:val="FBEF4B05"/>
    <w:rsid w:val="FDF7C756"/>
    <w:rsid w:val="FEBF1DDD"/>
    <w:rsid w:val="FEF8A1EE"/>
    <w:rsid w:val="FEFD6DF6"/>
    <w:rsid w:val="FEFEABFF"/>
    <w:rsid w:val="FF7DA0B6"/>
    <w:rsid w:val="FFEE9111"/>
    <w:rsid w:val="FFFA563D"/>
    <w:rsid w:val="FFFB12C6"/>
    <w:rsid w:val="FFFF0771"/>
    <w:rsid w:val="00016D27"/>
    <w:rsid w:val="00016E93"/>
    <w:rsid w:val="00051450"/>
    <w:rsid w:val="00071507"/>
    <w:rsid w:val="00084A72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9726D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978BB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A680C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576B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87FF3"/>
    <w:rsid w:val="00FA60C8"/>
    <w:rsid w:val="00FD22E5"/>
    <w:rsid w:val="00FD443E"/>
    <w:rsid w:val="00FD754D"/>
    <w:rsid w:val="0BEC7EA0"/>
    <w:rsid w:val="0F9E0E77"/>
    <w:rsid w:val="0FF2E7F3"/>
    <w:rsid w:val="16FD4C01"/>
    <w:rsid w:val="2A8D465A"/>
    <w:rsid w:val="2B9AB82C"/>
    <w:rsid w:val="33F533A6"/>
    <w:rsid w:val="3DBEF9B2"/>
    <w:rsid w:val="3F27D9EE"/>
    <w:rsid w:val="43E2636A"/>
    <w:rsid w:val="45774A6B"/>
    <w:rsid w:val="47E99333"/>
    <w:rsid w:val="4BFA0EE4"/>
    <w:rsid w:val="4C1A048F"/>
    <w:rsid w:val="4FFF6E3C"/>
    <w:rsid w:val="54B66540"/>
    <w:rsid w:val="56E23D44"/>
    <w:rsid w:val="591D3208"/>
    <w:rsid w:val="593D7E96"/>
    <w:rsid w:val="5B4E8732"/>
    <w:rsid w:val="5F297A5F"/>
    <w:rsid w:val="5F2FCC01"/>
    <w:rsid w:val="5F7FF247"/>
    <w:rsid w:val="5FBF3940"/>
    <w:rsid w:val="5FFED872"/>
    <w:rsid w:val="63AFA490"/>
    <w:rsid w:val="63E446CD"/>
    <w:rsid w:val="677B282B"/>
    <w:rsid w:val="67968D88"/>
    <w:rsid w:val="6D732512"/>
    <w:rsid w:val="6DBBB10A"/>
    <w:rsid w:val="6F7BCE71"/>
    <w:rsid w:val="6FBF5CD3"/>
    <w:rsid w:val="6FD92A55"/>
    <w:rsid w:val="74FAC1E9"/>
    <w:rsid w:val="757EE57D"/>
    <w:rsid w:val="76FFF8E1"/>
    <w:rsid w:val="7755D2D1"/>
    <w:rsid w:val="77BBA50B"/>
    <w:rsid w:val="77DE3962"/>
    <w:rsid w:val="7AFD950F"/>
    <w:rsid w:val="7BBF0EE2"/>
    <w:rsid w:val="7BFFCF48"/>
    <w:rsid w:val="7CBD014F"/>
    <w:rsid w:val="7CF056B8"/>
    <w:rsid w:val="7DBE5118"/>
    <w:rsid w:val="7ED62E8A"/>
    <w:rsid w:val="7EDA0FC4"/>
    <w:rsid w:val="7EF510B6"/>
    <w:rsid w:val="7EF6C8B9"/>
    <w:rsid w:val="7EFFC794"/>
    <w:rsid w:val="7F7F1FAB"/>
    <w:rsid w:val="7FBD0010"/>
    <w:rsid w:val="7FC9F74F"/>
    <w:rsid w:val="7FF4B7A2"/>
    <w:rsid w:val="7FF9D896"/>
    <w:rsid w:val="7FFED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4182E-A48B-4BBD-AF7C-C7BAEA3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Xtzj.Com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2024-05-12T00:08:00Z</cp:lastPrinted>
  <dcterms:created xsi:type="dcterms:W3CDTF">2024-05-11T09:45:00Z</dcterms:created>
  <dcterms:modified xsi:type="dcterms:W3CDTF">2024-05-11T09:51:00Z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EAB823EB9AAF8E44A1393F66295F8B00</vt:lpwstr>
  </property>
</Properties>
</file>