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D6AAF">
      <w:pPr>
        <w:overflowPunct w:val="0"/>
        <w:spacing w:line="600" w:lineRule="exact"/>
        <w:rPr>
          <w:rFonts w:eastAsia="黑体"/>
          <w:kern w:val="0"/>
          <w:sz w:val="32"/>
          <w:szCs w:val="32"/>
        </w:rPr>
      </w:pPr>
      <w:bookmarkStart w:id="0" w:name="_GoBack"/>
      <w:bookmarkEnd w:id="0"/>
      <w:r>
        <w:rPr>
          <w:rFonts w:ascii="黑体" w:eastAsia="黑体" w:hAnsi="黑体" w:cs="黑体" w:hint="eastAsia"/>
          <w:kern w:val="0"/>
          <w:sz w:val="32"/>
          <w:szCs w:val="32"/>
        </w:rPr>
        <w:t>附</w:t>
      </w:r>
      <w:r>
        <w:rPr>
          <w:rFonts w:ascii="黑体" w:eastAsia="黑体" w:hAnsi="黑体" w:cs="黑体" w:hint="eastAsia"/>
          <w:kern w:val="0"/>
          <w:sz w:val="32"/>
          <w:szCs w:val="32"/>
        </w:rPr>
        <w:t>件</w:t>
      </w:r>
      <w:r>
        <w:rPr>
          <w:rFonts w:ascii="黑体" w:eastAsia="黑体" w:hAnsi="黑体" w:cs="黑体" w:hint="eastAsia"/>
          <w:kern w:val="0"/>
          <w:sz w:val="32"/>
          <w:szCs w:val="32"/>
        </w:rPr>
        <w:t>8</w:t>
      </w:r>
    </w:p>
    <w:p w:rsidR="00000000" w:rsidRDefault="00AD6AAF">
      <w:pPr>
        <w:overflowPunct w:val="0"/>
        <w:adjustRightInd w:val="0"/>
        <w:snapToGrid w:val="0"/>
        <w:spacing w:line="600" w:lineRule="exact"/>
        <w:jc w:val="center"/>
        <w:rPr>
          <w:rFonts w:eastAsia="仿宋_GB2312"/>
          <w:sz w:val="44"/>
          <w:szCs w:val="44"/>
        </w:rPr>
      </w:pPr>
    </w:p>
    <w:p w:rsidR="00000000" w:rsidRDefault="00AD6AAF">
      <w:pPr>
        <w:overflowPunct w:val="0"/>
        <w:adjustRightInd w:val="0"/>
        <w:snapToGrid w:val="0"/>
        <w:spacing w:line="600" w:lineRule="exact"/>
        <w:jc w:val="center"/>
        <w:rPr>
          <w:rFonts w:eastAsia="方正小标宋简体"/>
          <w:sz w:val="44"/>
          <w:szCs w:val="44"/>
        </w:rPr>
      </w:pPr>
      <w:r>
        <w:rPr>
          <w:rFonts w:eastAsia="方正小标宋简体"/>
          <w:sz w:val="44"/>
          <w:szCs w:val="44"/>
        </w:rPr>
        <w:t>特殊情形分类界定程序</w:t>
      </w:r>
    </w:p>
    <w:p w:rsidR="00000000" w:rsidRDefault="00AD6AAF">
      <w:pPr>
        <w:overflowPunct w:val="0"/>
        <w:adjustRightInd w:val="0"/>
        <w:snapToGrid w:val="0"/>
        <w:spacing w:line="600" w:lineRule="exact"/>
        <w:ind w:firstLineChars="200" w:firstLine="640"/>
        <w:rPr>
          <w:rFonts w:eastAsia="仿宋_GB2312"/>
          <w:sz w:val="32"/>
          <w:szCs w:val="32"/>
        </w:rPr>
      </w:pPr>
    </w:p>
    <w:p w:rsidR="00000000" w:rsidRDefault="00AD6AAF">
      <w:pPr>
        <w:overflowPunct w:val="0"/>
        <w:adjustRightInd w:val="0"/>
        <w:snapToGrid w:val="0"/>
        <w:spacing w:line="600" w:lineRule="exact"/>
        <w:ind w:firstLineChars="200" w:firstLine="640"/>
        <w:rPr>
          <w:rFonts w:eastAsia="黑体"/>
          <w:kern w:val="0"/>
          <w:sz w:val="32"/>
          <w:szCs w:val="32"/>
        </w:rPr>
      </w:pPr>
      <w:r>
        <w:rPr>
          <w:rFonts w:eastAsia="黑体"/>
          <w:kern w:val="0"/>
          <w:sz w:val="32"/>
          <w:szCs w:val="32"/>
        </w:rPr>
        <w:t>一、适用情形</w:t>
      </w:r>
    </w:p>
    <w:p w:rsidR="00000000" w:rsidRDefault="00AD6AAF">
      <w:pPr>
        <w:overflowPunct w:val="0"/>
        <w:adjustRightInd w:val="0"/>
        <w:snapToGrid w:val="0"/>
        <w:spacing w:line="600" w:lineRule="exact"/>
        <w:ind w:firstLineChars="200" w:firstLine="640"/>
        <w:rPr>
          <w:rFonts w:eastAsia="仿宋_GB2312"/>
          <w:sz w:val="32"/>
          <w:szCs w:val="32"/>
        </w:rPr>
      </w:pPr>
      <w:r>
        <w:rPr>
          <w:rFonts w:eastAsia="仿宋_GB2312"/>
          <w:sz w:val="32"/>
          <w:szCs w:val="32"/>
        </w:rPr>
        <w:t>本程序适用于日常监管、稽查、投诉举报、信访、行政执法、刑事司法、法院案件等工作中涉及需要确认产品管理属性或</w:t>
      </w:r>
      <w:r>
        <w:rPr>
          <w:rFonts w:eastAsia="仿宋_GB2312"/>
          <w:sz w:val="32"/>
          <w:szCs w:val="32"/>
        </w:rPr>
        <w:t>者</w:t>
      </w:r>
      <w:r>
        <w:rPr>
          <w:rFonts w:eastAsia="仿宋_GB2312"/>
          <w:sz w:val="32"/>
          <w:szCs w:val="32"/>
        </w:rPr>
        <w:t>管理类别的特殊情形。特殊情形分类界定程序不在分类界定信息系统中办理。</w:t>
      </w:r>
    </w:p>
    <w:p w:rsidR="00000000" w:rsidRDefault="00AD6AAF">
      <w:pPr>
        <w:overflowPunct w:val="0"/>
        <w:adjustRightInd w:val="0"/>
        <w:snapToGrid w:val="0"/>
        <w:spacing w:line="600" w:lineRule="exact"/>
        <w:ind w:firstLineChars="200" w:firstLine="640"/>
        <w:rPr>
          <w:rFonts w:eastAsia="黑体"/>
          <w:kern w:val="0"/>
          <w:sz w:val="32"/>
          <w:szCs w:val="32"/>
        </w:rPr>
      </w:pPr>
      <w:r>
        <w:rPr>
          <w:rFonts w:eastAsia="黑体"/>
          <w:kern w:val="0"/>
          <w:sz w:val="32"/>
          <w:szCs w:val="32"/>
        </w:rPr>
        <w:t>二、办理流程</w:t>
      </w:r>
    </w:p>
    <w:p w:rsidR="00000000" w:rsidRDefault="00AD6AAF">
      <w:pPr>
        <w:overflowPunct w:val="0"/>
        <w:adjustRightInd w:val="0"/>
        <w:snapToGrid w:val="0"/>
        <w:spacing w:line="600" w:lineRule="exact"/>
        <w:ind w:firstLineChars="200" w:firstLine="640"/>
        <w:rPr>
          <w:rFonts w:eastAsia="仿宋_GB2312"/>
          <w:kern w:val="0"/>
          <w:sz w:val="32"/>
          <w:szCs w:val="32"/>
        </w:rPr>
      </w:pPr>
      <w:r>
        <w:rPr>
          <w:rFonts w:eastAsia="仿宋_GB2312"/>
          <w:kern w:val="0"/>
          <w:sz w:val="32"/>
          <w:szCs w:val="32"/>
        </w:rPr>
        <w:t>由所在地市级负责药品监督管理的部门或者省级药品监督管理部门依据《条例》《分类规则》、相关产品分类界定指导原则及《分类目录》等，结合产品实际情况作出判定。必要时，下级药品监督管理部门可以向上一级药品监督管理部门提出请示，并提供用于支持产品属性判定及</w:t>
      </w:r>
      <w:r>
        <w:rPr>
          <w:rFonts w:eastAsia="仿宋_GB2312"/>
          <w:kern w:val="0"/>
          <w:sz w:val="32"/>
          <w:szCs w:val="32"/>
        </w:rPr>
        <w:t>分类界定的相应资料及明确的管理属性及管理类别意见。</w:t>
      </w:r>
    </w:p>
    <w:p w:rsidR="00000000" w:rsidRDefault="00AD6AAF">
      <w:pPr>
        <w:overflowPunct w:val="0"/>
        <w:adjustRightInd w:val="0"/>
        <w:snapToGrid w:val="0"/>
        <w:spacing w:line="600" w:lineRule="exact"/>
        <w:ind w:firstLineChars="200" w:firstLine="640"/>
        <w:rPr>
          <w:rFonts w:eastAsia="仿宋_GB2312"/>
          <w:kern w:val="0"/>
          <w:sz w:val="32"/>
          <w:szCs w:val="32"/>
        </w:rPr>
      </w:pPr>
      <w:r>
        <w:rPr>
          <w:rFonts w:eastAsia="仿宋_GB2312"/>
          <w:kern w:val="0"/>
          <w:sz w:val="32"/>
          <w:szCs w:val="32"/>
        </w:rPr>
        <w:t>国家药监局遇有本程序所适用情形时，由相关司局组织器械标管中心研究确定。</w:t>
      </w:r>
    </w:p>
    <w:p w:rsidR="00000000" w:rsidRDefault="00AD6AAF">
      <w:pPr>
        <w:overflowPunct w:val="0"/>
        <w:adjustRightInd w:val="0"/>
        <w:snapToGrid w:val="0"/>
        <w:spacing w:line="600" w:lineRule="exact"/>
        <w:ind w:firstLineChars="200" w:firstLine="640"/>
        <w:rPr>
          <w:rFonts w:eastAsia="仿宋_GB2312"/>
          <w:kern w:val="0"/>
          <w:sz w:val="32"/>
          <w:szCs w:val="32"/>
        </w:rPr>
      </w:pPr>
      <w:r>
        <w:rPr>
          <w:rFonts w:eastAsia="仿宋_GB2312"/>
          <w:kern w:val="0"/>
          <w:sz w:val="32"/>
          <w:szCs w:val="32"/>
        </w:rPr>
        <w:t>器械标管中心根据来函及相应产品资料，研究确定产品管理属性和类别。对</w:t>
      </w:r>
      <w:r>
        <w:rPr>
          <w:rFonts w:eastAsia="仿宋_GB2312"/>
          <w:spacing w:val="6"/>
          <w:kern w:val="0"/>
          <w:sz w:val="32"/>
          <w:szCs w:val="32"/>
        </w:rPr>
        <w:t>于所附资料过少、难以判断产品管理属</w:t>
      </w:r>
      <w:r>
        <w:rPr>
          <w:rFonts w:eastAsia="仿宋_GB2312"/>
          <w:spacing w:val="6"/>
          <w:sz w:val="32"/>
          <w:szCs w:val="32"/>
        </w:rPr>
        <w:t>性和管理类别</w:t>
      </w:r>
      <w:r>
        <w:rPr>
          <w:rFonts w:eastAsia="仿宋_GB2312"/>
          <w:spacing w:val="6"/>
          <w:kern w:val="0"/>
          <w:sz w:val="32"/>
          <w:szCs w:val="32"/>
        </w:rPr>
        <w:t>的，可请来函单位进一步提供资料；对于分类界定难度</w:t>
      </w:r>
      <w:r>
        <w:rPr>
          <w:rFonts w:eastAsia="仿宋_GB2312"/>
          <w:spacing w:val="6"/>
          <w:kern w:val="0"/>
          <w:sz w:val="32"/>
          <w:szCs w:val="32"/>
        </w:rPr>
        <w:lastRenderedPageBreak/>
        <w:t>大、技术复杂、存在异议的产品，器械标管中心可以组织专家会议研</w:t>
      </w:r>
      <w:r>
        <w:rPr>
          <w:rFonts w:eastAsia="仿宋_GB2312"/>
          <w:kern w:val="0"/>
          <w:sz w:val="32"/>
          <w:szCs w:val="32"/>
        </w:rPr>
        <w:t>究。</w:t>
      </w:r>
    </w:p>
    <w:p w:rsidR="00000000" w:rsidRDefault="00AD6AAF">
      <w:pPr>
        <w:overflowPunct w:val="0"/>
        <w:adjustRightInd w:val="0"/>
        <w:snapToGrid w:val="0"/>
        <w:spacing w:line="600" w:lineRule="exact"/>
        <w:ind w:firstLineChars="200" w:firstLine="640"/>
        <w:rPr>
          <w:rFonts w:eastAsia="黑体"/>
          <w:kern w:val="0"/>
          <w:sz w:val="32"/>
          <w:szCs w:val="32"/>
        </w:rPr>
      </w:pPr>
      <w:r>
        <w:rPr>
          <w:rFonts w:eastAsia="黑体"/>
          <w:kern w:val="0"/>
          <w:sz w:val="32"/>
          <w:szCs w:val="32"/>
        </w:rPr>
        <w:t>三、管理属性及分类意见</w:t>
      </w:r>
    </w:p>
    <w:p w:rsidR="00000000" w:rsidRDefault="00AD6AAF">
      <w:pPr>
        <w:overflowPunct w:val="0"/>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对于</w:t>
      </w:r>
      <w:r>
        <w:rPr>
          <w:rFonts w:eastAsia="仿宋_GB2312"/>
          <w:kern w:val="0"/>
          <w:sz w:val="32"/>
          <w:szCs w:val="32"/>
        </w:rPr>
        <w:t>上述事项</w:t>
      </w:r>
      <w:r>
        <w:rPr>
          <w:rFonts w:eastAsia="仿宋_GB2312" w:hint="eastAsia"/>
          <w:kern w:val="0"/>
          <w:sz w:val="32"/>
          <w:szCs w:val="32"/>
        </w:rPr>
        <w:t>，</w:t>
      </w:r>
      <w:r>
        <w:rPr>
          <w:rFonts w:eastAsia="仿宋_GB2312"/>
          <w:kern w:val="0"/>
          <w:sz w:val="32"/>
          <w:szCs w:val="32"/>
        </w:rPr>
        <w:t>根据来函及相应产品资料</w:t>
      </w:r>
      <w:r>
        <w:rPr>
          <w:rFonts w:eastAsia="仿宋_GB2312" w:hint="eastAsia"/>
          <w:kern w:val="0"/>
          <w:sz w:val="32"/>
          <w:szCs w:val="32"/>
        </w:rPr>
        <w:t>，能够明确</w:t>
      </w:r>
      <w:r>
        <w:rPr>
          <w:rFonts w:eastAsia="仿宋_GB2312"/>
          <w:kern w:val="0"/>
          <w:sz w:val="32"/>
          <w:szCs w:val="32"/>
        </w:rPr>
        <w:t>产品管理属性和类别</w:t>
      </w:r>
      <w:r>
        <w:rPr>
          <w:rFonts w:eastAsia="仿宋_GB2312" w:hint="eastAsia"/>
          <w:kern w:val="0"/>
          <w:sz w:val="32"/>
          <w:szCs w:val="32"/>
        </w:rPr>
        <w:t>意见的，应当提供</w:t>
      </w:r>
      <w:r>
        <w:rPr>
          <w:rFonts w:eastAsia="仿宋_GB2312"/>
          <w:kern w:val="0"/>
          <w:sz w:val="32"/>
          <w:szCs w:val="32"/>
        </w:rPr>
        <w:t>产品管理属性及分类</w:t>
      </w:r>
      <w:r>
        <w:rPr>
          <w:rFonts w:eastAsia="仿宋_GB2312" w:hint="eastAsia"/>
          <w:kern w:val="0"/>
          <w:sz w:val="32"/>
          <w:szCs w:val="32"/>
        </w:rPr>
        <w:t>界定意见；</w:t>
      </w:r>
      <w:r>
        <w:rPr>
          <w:rFonts w:eastAsia="仿宋_GB2312"/>
          <w:kern w:val="0"/>
          <w:sz w:val="32"/>
          <w:szCs w:val="32"/>
        </w:rPr>
        <w:t>提供的产品资料不全面</w:t>
      </w:r>
      <w:r>
        <w:rPr>
          <w:rFonts w:eastAsia="仿宋_GB2312" w:hint="eastAsia"/>
          <w:kern w:val="0"/>
          <w:sz w:val="32"/>
          <w:szCs w:val="32"/>
        </w:rPr>
        <w:t>、无法明确</w:t>
      </w:r>
      <w:r>
        <w:rPr>
          <w:rFonts w:eastAsia="仿宋_GB2312"/>
          <w:kern w:val="0"/>
          <w:sz w:val="32"/>
          <w:szCs w:val="32"/>
        </w:rPr>
        <w:t>产品管理属性和类别</w:t>
      </w:r>
      <w:r>
        <w:rPr>
          <w:rFonts w:eastAsia="仿宋_GB2312" w:hint="eastAsia"/>
          <w:kern w:val="0"/>
          <w:sz w:val="32"/>
          <w:szCs w:val="32"/>
        </w:rPr>
        <w:t>意见的</w:t>
      </w:r>
      <w:r>
        <w:rPr>
          <w:rFonts w:eastAsia="仿宋_GB2312"/>
          <w:kern w:val="0"/>
          <w:sz w:val="32"/>
          <w:szCs w:val="32"/>
        </w:rPr>
        <w:t>，可以</w:t>
      </w:r>
      <w:r>
        <w:rPr>
          <w:rFonts w:eastAsia="仿宋_GB2312" w:hint="eastAsia"/>
          <w:kern w:val="0"/>
          <w:sz w:val="32"/>
          <w:szCs w:val="32"/>
        </w:rPr>
        <w:t>视资料情况</w:t>
      </w:r>
      <w:r>
        <w:rPr>
          <w:rFonts w:eastAsia="仿宋_GB2312"/>
          <w:kern w:val="0"/>
          <w:sz w:val="32"/>
          <w:szCs w:val="32"/>
        </w:rPr>
        <w:t>只提供该产品是否作为医疗器械管理、第一类或</w:t>
      </w:r>
      <w:r>
        <w:rPr>
          <w:rFonts w:eastAsia="仿宋_GB2312"/>
          <w:kern w:val="0"/>
          <w:sz w:val="32"/>
          <w:szCs w:val="32"/>
          <w:lang w:val="en"/>
        </w:rPr>
        <w:t>者</w:t>
      </w:r>
      <w:r>
        <w:rPr>
          <w:rFonts w:eastAsia="仿宋_GB2312"/>
          <w:kern w:val="0"/>
          <w:sz w:val="32"/>
          <w:szCs w:val="32"/>
        </w:rPr>
        <w:t>不低于二类的分类界定意见，或者提供相关产品管理属性及分类判定的原则</w:t>
      </w:r>
      <w:r>
        <w:rPr>
          <w:rFonts w:eastAsia="仿宋_GB2312" w:hint="eastAsia"/>
          <w:kern w:val="0"/>
          <w:sz w:val="32"/>
          <w:szCs w:val="32"/>
        </w:rPr>
        <w:t>，供来函单位根据具体情况进行研判或参考</w:t>
      </w:r>
      <w:r>
        <w:rPr>
          <w:rFonts w:eastAsia="仿宋_GB2312"/>
          <w:kern w:val="0"/>
          <w:sz w:val="32"/>
          <w:szCs w:val="32"/>
        </w:rPr>
        <w:t>。</w:t>
      </w:r>
    </w:p>
    <w:p w:rsidR="00000000" w:rsidRDefault="00AD6AAF">
      <w:pPr>
        <w:overflowPunct w:val="0"/>
        <w:adjustRightInd w:val="0"/>
        <w:snapToGrid w:val="0"/>
        <w:spacing w:line="600" w:lineRule="exact"/>
        <w:ind w:firstLineChars="200" w:firstLine="640"/>
        <w:rPr>
          <w:rFonts w:eastAsia="仿宋_GB2312"/>
          <w:kern w:val="0"/>
          <w:sz w:val="32"/>
          <w:szCs w:val="32"/>
        </w:rPr>
      </w:pPr>
      <w:r>
        <w:rPr>
          <w:rFonts w:eastAsia="仿宋_GB2312"/>
          <w:kern w:val="0"/>
          <w:sz w:val="32"/>
          <w:szCs w:val="32"/>
        </w:rPr>
        <w:t>管理属性及分类意见系依据来函所附产品资料作出，若后续提供的产品相关内容与来函所附产品资料不一致，则原管理属性及分类意见不适用。</w:t>
      </w:r>
    </w:p>
    <w:p w:rsidR="00000000" w:rsidRDefault="00AD6AAF">
      <w:pPr>
        <w:rPr>
          <w:rFonts w:ascii="仿宋_GB2312" w:eastAsia="仿宋_GB2312" w:hAnsi="华文仿宋" w:hint="eastAsia"/>
          <w:sz w:val="32"/>
          <w:szCs w:val="32"/>
        </w:rPr>
      </w:pPr>
    </w:p>
    <w:p w:rsidR="00AD6AAF" w:rsidRDefault="00AD6AAF">
      <w:pPr>
        <w:rPr>
          <w:rFonts w:ascii="仿宋_GB2312" w:eastAsia="仿宋_GB2312" w:hAnsi="华文仿宋" w:hint="eastAsia"/>
          <w:sz w:val="32"/>
          <w:szCs w:val="32"/>
        </w:rPr>
      </w:pPr>
    </w:p>
    <w:sectPr w:rsidR="00AD6AAF">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AAF" w:rsidRDefault="00AD6AAF">
      <w:r>
        <w:separator/>
      </w:r>
    </w:p>
  </w:endnote>
  <w:endnote w:type="continuationSeparator" w:id="0">
    <w:p w:rsidR="00AD6AAF" w:rsidRDefault="00AD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8576B">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635" t="0" r="190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AD6AAF">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41B79">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AD6AAF">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41B79">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AAF" w:rsidRDefault="00AD6AAF">
      <w:r>
        <w:separator/>
      </w:r>
    </w:p>
  </w:footnote>
  <w:footnote w:type="continuationSeparator" w:id="0">
    <w:p w:rsidR="00AD6AAF" w:rsidRDefault="00AD6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84A72"/>
    <w:rsid w:val="000A2989"/>
    <w:rsid w:val="000E0170"/>
    <w:rsid w:val="000F4DD5"/>
    <w:rsid w:val="00101F08"/>
    <w:rsid w:val="001413C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64B1F"/>
    <w:rsid w:val="0067038A"/>
    <w:rsid w:val="00673EAB"/>
    <w:rsid w:val="00690209"/>
    <w:rsid w:val="006D3D5E"/>
    <w:rsid w:val="006E0E17"/>
    <w:rsid w:val="00727597"/>
    <w:rsid w:val="00735046"/>
    <w:rsid w:val="00766F07"/>
    <w:rsid w:val="00770879"/>
    <w:rsid w:val="007B409A"/>
    <w:rsid w:val="007C72C1"/>
    <w:rsid w:val="007E3EB2"/>
    <w:rsid w:val="007F6C62"/>
    <w:rsid w:val="00802B33"/>
    <w:rsid w:val="008044C1"/>
    <w:rsid w:val="0080591C"/>
    <w:rsid w:val="00811EC5"/>
    <w:rsid w:val="008300E3"/>
    <w:rsid w:val="00832F8A"/>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41B79"/>
    <w:rsid w:val="00A62362"/>
    <w:rsid w:val="00A639CD"/>
    <w:rsid w:val="00A646C6"/>
    <w:rsid w:val="00A65BFC"/>
    <w:rsid w:val="00A8280B"/>
    <w:rsid w:val="00A82CA2"/>
    <w:rsid w:val="00AA30FC"/>
    <w:rsid w:val="00AC2D33"/>
    <w:rsid w:val="00AD6AAF"/>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8576B"/>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0FF2E7F3"/>
    <w:rsid w:val="16FD4C01"/>
    <w:rsid w:val="2A8D465A"/>
    <w:rsid w:val="2B9AB82C"/>
    <w:rsid w:val="33F533A6"/>
    <w:rsid w:val="3DBEF9B2"/>
    <w:rsid w:val="3F27D9EE"/>
    <w:rsid w:val="43E2636A"/>
    <w:rsid w:val="45774A6B"/>
    <w:rsid w:val="47E99333"/>
    <w:rsid w:val="4BFA0EE4"/>
    <w:rsid w:val="4C1A048F"/>
    <w:rsid w:val="4FFF6E3C"/>
    <w:rsid w:val="54B66540"/>
    <w:rsid w:val="56E23D44"/>
    <w:rsid w:val="591D3208"/>
    <w:rsid w:val="593D7E96"/>
    <w:rsid w:val="5B4E8732"/>
    <w:rsid w:val="5F297A5F"/>
    <w:rsid w:val="5F2FCC01"/>
    <w:rsid w:val="5F7FF247"/>
    <w:rsid w:val="5FBF3940"/>
    <w:rsid w:val="5FFED872"/>
    <w:rsid w:val="63AFA490"/>
    <w:rsid w:val="63E446CD"/>
    <w:rsid w:val="677B282B"/>
    <w:rsid w:val="67968D88"/>
    <w:rsid w:val="6D732512"/>
    <w:rsid w:val="6DBBB10A"/>
    <w:rsid w:val="6F7BCE71"/>
    <w:rsid w:val="6FBF5CD3"/>
    <w:rsid w:val="6FD92A55"/>
    <w:rsid w:val="74FAC1E9"/>
    <w:rsid w:val="757EE57D"/>
    <w:rsid w:val="76FFF8E1"/>
    <w:rsid w:val="7755D2D1"/>
    <w:rsid w:val="77BBA50B"/>
    <w:rsid w:val="77DE3962"/>
    <w:rsid w:val="7AFD950F"/>
    <w:rsid w:val="7BBF0EE2"/>
    <w:rsid w:val="7BFFCF48"/>
    <w:rsid w:val="7CBD014F"/>
    <w:rsid w:val="7CF056B8"/>
    <w:rsid w:val="7DBE5118"/>
    <w:rsid w:val="7ED62E8A"/>
    <w:rsid w:val="7EDA0FC4"/>
    <w:rsid w:val="7EF510B6"/>
    <w:rsid w:val="7EF6C8B9"/>
    <w:rsid w:val="7EFFC794"/>
    <w:rsid w:val="7F7F1FAB"/>
    <w:rsid w:val="7FBD0010"/>
    <w:rsid w:val="7FC9F74F"/>
    <w:rsid w:val="7FF4B7A2"/>
    <w:rsid w:val="7FF9D896"/>
    <w:rsid w:val="7FFED7B4"/>
    <w:rsid w:val="9BD2A4EF"/>
    <w:rsid w:val="9DFF1689"/>
    <w:rsid w:val="9EDF9055"/>
    <w:rsid w:val="A7B657AF"/>
    <w:rsid w:val="AA768256"/>
    <w:rsid w:val="AFEF1C9F"/>
    <w:rsid w:val="AFFE28B5"/>
    <w:rsid w:val="B64F35F9"/>
    <w:rsid w:val="B7FF51E8"/>
    <w:rsid w:val="BAFBDFFC"/>
    <w:rsid w:val="BB4DA838"/>
    <w:rsid w:val="BBF96E03"/>
    <w:rsid w:val="BBFD2EB1"/>
    <w:rsid w:val="BC6BDFF2"/>
    <w:rsid w:val="BF85CD30"/>
    <w:rsid w:val="BFFB20A9"/>
    <w:rsid w:val="BFFED062"/>
    <w:rsid w:val="C5B5CA21"/>
    <w:rsid w:val="D4FF0E71"/>
    <w:rsid w:val="DDAF2858"/>
    <w:rsid w:val="DDD70DCD"/>
    <w:rsid w:val="DDDCB9E8"/>
    <w:rsid w:val="DDFEF50B"/>
    <w:rsid w:val="DEFE2875"/>
    <w:rsid w:val="DFF6A5F9"/>
    <w:rsid w:val="DFFF999C"/>
    <w:rsid w:val="DFFFC652"/>
    <w:rsid w:val="E42B6D8C"/>
    <w:rsid w:val="EBBE0409"/>
    <w:rsid w:val="ED258CC1"/>
    <w:rsid w:val="EE773D43"/>
    <w:rsid w:val="EEFE8454"/>
    <w:rsid w:val="F3CF6270"/>
    <w:rsid w:val="F3EEAB96"/>
    <w:rsid w:val="F79E96CA"/>
    <w:rsid w:val="F7FE65FF"/>
    <w:rsid w:val="FAFD8619"/>
    <w:rsid w:val="FB7E4E86"/>
    <w:rsid w:val="FBEF4B05"/>
    <w:rsid w:val="FDF7C756"/>
    <w:rsid w:val="FEBF1DDD"/>
    <w:rsid w:val="FEF8A1EE"/>
    <w:rsid w:val="FEFD6DF6"/>
    <w:rsid w:val="FEFEABFF"/>
    <w:rsid w:val="FF7DA0B6"/>
    <w:rsid w:val="FFEE9111"/>
    <w:rsid w:val="FFFA563D"/>
    <w:rsid w:val="FFFB12C6"/>
    <w:rsid w:val="FFFF0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94182E-A48B-4BBD-AF7C-C7BAEA3F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60D6A-0591-40FE-B77D-A52B9DBF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563</Characters>
  <Application>Microsoft Office Word</Application>
  <DocSecurity>0</DocSecurity>
  <Lines>4</Lines>
  <Paragraphs>1</Paragraphs>
  <ScaleCrop>false</ScaleCrop>
  <Company>Xtzj.Com</Company>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2024-05-12T00:08:00Z</cp:lastPrinted>
  <dcterms:created xsi:type="dcterms:W3CDTF">2024-05-11T09:48:00Z</dcterms:created>
  <dcterms:modified xsi:type="dcterms:W3CDTF">2024-05-11T09:48:00Z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EAB823EB9AAF8E44A1393F66295F8B00</vt:lpwstr>
  </property>
</Properties>
</file>