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3A" w:rsidRPr="00DF1104" w:rsidRDefault="004B123A" w:rsidP="004B123A">
      <w:pPr>
        <w:overflowPunct w:val="0"/>
        <w:spacing w:line="520" w:lineRule="exact"/>
        <w:rPr>
          <w:rFonts w:eastAsia="黑体"/>
          <w:color w:val="000000"/>
          <w:sz w:val="32"/>
          <w:szCs w:val="32"/>
        </w:rPr>
      </w:pPr>
      <w:bookmarkStart w:id="0" w:name="GongKaiShuXingΩ1"/>
      <w:bookmarkStart w:id="1" w:name="参1"/>
      <w:bookmarkStart w:id="2" w:name="参2"/>
      <w:bookmarkStart w:id="3" w:name="参3"/>
      <w:bookmarkStart w:id="4" w:name="参5"/>
      <w:bookmarkStart w:id="5" w:name="YinFaRiQiΩ1"/>
      <w:bookmarkStart w:id="6" w:name="参6"/>
      <w:bookmarkStart w:id="7" w:name="QianFaShiJianΩ1"/>
      <w:bookmarkStart w:id="8" w:name="word_number_fieldΩ1"/>
      <w:bookmarkStart w:id="9" w:name="参4"/>
      <w:bookmarkEnd w:id="0"/>
      <w:bookmarkEnd w:id="1"/>
      <w:bookmarkEnd w:id="2"/>
      <w:bookmarkEnd w:id="3"/>
      <w:bookmarkEnd w:id="4"/>
      <w:bookmarkEnd w:id="5"/>
      <w:bookmarkEnd w:id="6"/>
      <w:bookmarkEnd w:id="7"/>
      <w:bookmarkEnd w:id="8"/>
      <w:bookmarkEnd w:id="9"/>
      <w:r w:rsidRPr="00DF1104">
        <w:rPr>
          <w:rFonts w:eastAsia="黑体"/>
          <w:color w:val="000000"/>
          <w:sz w:val="32"/>
          <w:szCs w:val="32"/>
        </w:rPr>
        <w:t>附件</w:t>
      </w:r>
      <w:r w:rsidRPr="00DF1104">
        <w:rPr>
          <w:rFonts w:eastAsia="黑体"/>
          <w:color w:val="000000"/>
          <w:sz w:val="32"/>
          <w:szCs w:val="32"/>
        </w:rPr>
        <w:t>5</w:t>
      </w:r>
    </w:p>
    <w:p w:rsidR="004B123A" w:rsidRPr="00DF1104" w:rsidRDefault="004B123A" w:rsidP="004B123A">
      <w:pPr>
        <w:spacing w:line="520" w:lineRule="exact"/>
        <w:ind w:firstLineChars="200" w:firstLine="640"/>
        <w:rPr>
          <w:rFonts w:eastAsia="仿宋_GB2312"/>
          <w:sz w:val="32"/>
          <w:szCs w:val="32"/>
        </w:rPr>
      </w:pPr>
    </w:p>
    <w:p w:rsidR="004B123A" w:rsidRPr="00DF1104" w:rsidRDefault="004B123A" w:rsidP="004B123A">
      <w:pPr>
        <w:spacing w:line="520" w:lineRule="exact"/>
        <w:ind w:rightChars="-32" w:right="-67"/>
        <w:jc w:val="center"/>
        <w:rPr>
          <w:rFonts w:eastAsia="方正小标宋简体"/>
          <w:color w:val="000000"/>
          <w:sz w:val="44"/>
          <w:szCs w:val="44"/>
        </w:rPr>
      </w:pPr>
      <w:r w:rsidRPr="00DF1104">
        <w:rPr>
          <w:rFonts w:eastAsia="方正小标宋简体"/>
          <w:color w:val="000000"/>
          <w:sz w:val="44"/>
          <w:szCs w:val="44"/>
        </w:rPr>
        <w:t>全自动化学发光免疫分析仪注册审查指导原则（</w:t>
      </w:r>
      <w:r w:rsidRPr="00DF1104">
        <w:rPr>
          <w:rFonts w:eastAsia="方正小标宋简体"/>
          <w:color w:val="000000"/>
          <w:sz w:val="44"/>
          <w:szCs w:val="44"/>
        </w:rPr>
        <w:t>2025</w:t>
      </w:r>
      <w:r w:rsidRPr="00DF1104">
        <w:rPr>
          <w:rFonts w:eastAsia="方正小标宋简体"/>
          <w:color w:val="000000"/>
          <w:sz w:val="44"/>
          <w:szCs w:val="44"/>
        </w:rPr>
        <w:t>年修订版）</w:t>
      </w:r>
    </w:p>
    <w:p w:rsidR="004B123A" w:rsidRPr="00DF1104" w:rsidRDefault="004B123A" w:rsidP="004B123A">
      <w:pPr>
        <w:spacing w:line="520" w:lineRule="exact"/>
        <w:rPr>
          <w:rFonts w:eastAsia="仿宋_GB2312"/>
        </w:rPr>
      </w:pP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本指导原则旨在指导注册申请人对全自动化学发光免疫分析仪注册申报资料的准备及撰写，同时也为技术审评部门审评注册申报资料提供参考。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是对全自动化学发光免疫分析仪的一般要求，申请人应依据产品的具体特性确定其中内容是否适用，若不适用，需具体阐述理由及相应的科学依据，并依据产品的具体特性对注册申报资料的内容进行充实和细化。</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相关人员应在遵循相关法规的前提下使用本指导原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4B123A" w:rsidRPr="00DF1104" w:rsidRDefault="004B123A" w:rsidP="004B123A">
      <w:pPr>
        <w:spacing w:line="520" w:lineRule="exact"/>
        <w:ind w:rightChars="-32" w:right="-67" w:firstLineChars="200" w:firstLine="640"/>
        <w:rPr>
          <w:rFonts w:eastAsia="黑体"/>
          <w:b/>
          <w:sz w:val="32"/>
          <w:szCs w:val="32"/>
        </w:rPr>
      </w:pPr>
      <w:r w:rsidRPr="00DF1104">
        <w:rPr>
          <w:rFonts w:eastAsia="黑体"/>
          <w:sz w:val="32"/>
          <w:szCs w:val="32"/>
        </w:rPr>
        <w:t>一、适用范围</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sz w:val="32"/>
          <w:szCs w:val="32"/>
        </w:rPr>
        <w:t>化学发光免疫分析根据化学发光物质的类型和发光特点，可分</w:t>
      </w:r>
      <w:r w:rsidRPr="00DF1104">
        <w:rPr>
          <w:rFonts w:eastAsia="仿宋_GB2312"/>
          <w:kern w:val="0"/>
          <w:sz w:val="32"/>
          <w:szCs w:val="32"/>
        </w:rPr>
        <w:t>为电化学发光免疫分析和化学发光免疫分析，其中化学发光免疫分析根据发光剂的不同，可分为直接化学发光免疫分析、酶促化学发光免疫分析和鲁米诺氧途径免疫分析。目前，各类型化学发光免疫分析的常见发光剂包括：电化学发光剂为三联吡啶钌</w:t>
      </w:r>
      <w:r w:rsidRPr="00DF1104">
        <w:rPr>
          <w:rFonts w:eastAsia="仿宋_GB2312"/>
          <w:kern w:val="0"/>
          <w:sz w:val="32"/>
          <w:szCs w:val="32"/>
        </w:rPr>
        <w:t>[RU</w:t>
      </w:r>
      <w:r w:rsidRPr="00DF1104">
        <w:rPr>
          <w:rFonts w:eastAsia="仿宋_GB2312"/>
          <w:kern w:val="0"/>
          <w:sz w:val="32"/>
          <w:szCs w:val="32"/>
        </w:rPr>
        <w:t>（</w:t>
      </w:r>
      <w:r w:rsidRPr="00DF1104">
        <w:rPr>
          <w:rFonts w:eastAsia="仿宋_GB2312"/>
          <w:kern w:val="0"/>
          <w:sz w:val="32"/>
          <w:szCs w:val="32"/>
        </w:rPr>
        <w:t>bpy</w:t>
      </w: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vertAlign w:val="superscript"/>
        </w:rPr>
        <w:t>2+</w:t>
      </w:r>
      <w:r w:rsidRPr="00DF1104">
        <w:rPr>
          <w:rFonts w:eastAsia="仿宋_GB2312"/>
          <w:kern w:val="0"/>
          <w:sz w:val="32"/>
          <w:szCs w:val="32"/>
        </w:rPr>
        <w:t>，直接化学发光剂为吖啶酯（</w:t>
      </w:r>
      <w:r w:rsidRPr="00DF1104">
        <w:rPr>
          <w:rFonts w:eastAsia="仿宋_GB2312"/>
          <w:kern w:val="0"/>
          <w:sz w:val="32"/>
          <w:szCs w:val="32"/>
        </w:rPr>
        <w:t>AE</w:t>
      </w:r>
      <w:r w:rsidRPr="00DF1104">
        <w:rPr>
          <w:rFonts w:eastAsia="仿宋_GB2312"/>
          <w:kern w:val="0"/>
          <w:sz w:val="32"/>
          <w:szCs w:val="32"/>
        </w:rPr>
        <w:t>）和异鲁米诺衍</w:t>
      </w:r>
      <w:r w:rsidRPr="00DF1104">
        <w:rPr>
          <w:rFonts w:eastAsia="仿宋_GB2312"/>
          <w:kern w:val="0"/>
          <w:sz w:val="32"/>
          <w:szCs w:val="32"/>
        </w:rPr>
        <w:lastRenderedPageBreak/>
        <w:t>生物（</w:t>
      </w:r>
      <w:r w:rsidRPr="00DF1104">
        <w:rPr>
          <w:rFonts w:eastAsia="仿宋_GB2312"/>
          <w:kern w:val="0"/>
          <w:sz w:val="32"/>
          <w:szCs w:val="32"/>
        </w:rPr>
        <w:t>ABEI</w:t>
      </w:r>
      <w:r w:rsidRPr="00DF1104">
        <w:rPr>
          <w:rFonts w:eastAsia="仿宋_GB2312"/>
          <w:kern w:val="0"/>
          <w:sz w:val="32"/>
          <w:szCs w:val="32"/>
        </w:rPr>
        <w:t>），酶促化学发光剂为辣根过氧化物酶（</w:t>
      </w:r>
      <w:r w:rsidRPr="00DF1104">
        <w:rPr>
          <w:rFonts w:eastAsia="仿宋_GB2312"/>
          <w:kern w:val="0"/>
          <w:sz w:val="32"/>
          <w:szCs w:val="32"/>
        </w:rPr>
        <w:t>HRP</w:t>
      </w:r>
      <w:r w:rsidRPr="00DF1104">
        <w:rPr>
          <w:rFonts w:eastAsia="仿宋_GB2312"/>
          <w:kern w:val="0"/>
          <w:sz w:val="32"/>
          <w:szCs w:val="32"/>
        </w:rPr>
        <w:t>）催化鲁米诺（</w:t>
      </w:r>
      <w:r w:rsidRPr="00DF1104">
        <w:rPr>
          <w:rFonts w:eastAsia="仿宋_GB2312"/>
          <w:kern w:val="0"/>
          <w:sz w:val="32"/>
          <w:szCs w:val="32"/>
        </w:rPr>
        <w:t>3-</w:t>
      </w:r>
      <w:r w:rsidRPr="00DF1104">
        <w:rPr>
          <w:rFonts w:eastAsia="仿宋_GB2312"/>
          <w:kern w:val="0"/>
          <w:sz w:val="32"/>
          <w:szCs w:val="32"/>
        </w:rPr>
        <w:t>氨基苯二甲酰肼，</w:t>
      </w:r>
      <w:r w:rsidRPr="00DF1104">
        <w:rPr>
          <w:rFonts w:eastAsia="仿宋_GB2312"/>
          <w:kern w:val="0"/>
          <w:sz w:val="32"/>
          <w:szCs w:val="32"/>
        </w:rPr>
        <w:t>luminol</w:t>
      </w:r>
      <w:r w:rsidRPr="00DF1104">
        <w:rPr>
          <w:rFonts w:eastAsia="仿宋_GB2312"/>
          <w:kern w:val="0"/>
          <w:sz w:val="32"/>
          <w:szCs w:val="32"/>
        </w:rPr>
        <w:t>）及其衍生物或者碱性磷酸酶催化</w:t>
      </w:r>
      <w:r w:rsidRPr="00DF1104">
        <w:rPr>
          <w:rFonts w:eastAsia="仿宋_GB2312"/>
          <w:kern w:val="0"/>
          <w:sz w:val="32"/>
          <w:szCs w:val="32"/>
        </w:rPr>
        <w:t>3-</w:t>
      </w: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螺旋金刚烷）</w:t>
      </w:r>
      <w:r w:rsidRPr="00DF1104">
        <w:rPr>
          <w:rFonts w:eastAsia="仿宋_GB2312"/>
          <w:kern w:val="0"/>
          <w:sz w:val="32"/>
          <w:szCs w:val="32"/>
        </w:rPr>
        <w:t>-4-</w:t>
      </w:r>
      <w:r w:rsidRPr="00DF1104">
        <w:rPr>
          <w:rFonts w:eastAsia="仿宋_GB2312"/>
          <w:kern w:val="0"/>
          <w:sz w:val="32"/>
          <w:szCs w:val="32"/>
        </w:rPr>
        <w:t>甲氧基</w:t>
      </w:r>
      <w:r w:rsidRPr="00DF1104">
        <w:rPr>
          <w:rFonts w:eastAsia="仿宋_GB2312"/>
          <w:kern w:val="0"/>
          <w:sz w:val="32"/>
          <w:szCs w:val="32"/>
        </w:rPr>
        <w:t>-4-</w:t>
      </w: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磷酰氧基）苯</w:t>
      </w:r>
      <w:r w:rsidRPr="00DF1104">
        <w:rPr>
          <w:rFonts w:eastAsia="仿宋_GB2312"/>
          <w:kern w:val="0"/>
          <w:sz w:val="32"/>
          <w:szCs w:val="32"/>
        </w:rPr>
        <w:t>-1,2-</w:t>
      </w:r>
      <w:r w:rsidRPr="00DF1104">
        <w:rPr>
          <w:rFonts w:eastAsia="仿宋_GB2312"/>
          <w:kern w:val="0"/>
          <w:sz w:val="32"/>
          <w:szCs w:val="32"/>
        </w:rPr>
        <w:t>二氧杂环丁烷（</w:t>
      </w:r>
      <w:r w:rsidRPr="00DF1104">
        <w:rPr>
          <w:rFonts w:eastAsia="仿宋_GB2312"/>
          <w:kern w:val="0"/>
          <w:sz w:val="32"/>
          <w:szCs w:val="32"/>
        </w:rPr>
        <w:t>AMPPD</w:t>
      </w:r>
      <w:r w:rsidRPr="00DF1104">
        <w:rPr>
          <w:rFonts w:eastAsia="仿宋_GB2312"/>
          <w:kern w:val="0"/>
          <w:sz w:val="32"/>
          <w:szCs w:val="32"/>
        </w:rPr>
        <w:t>），鲁米诺氧途径发光剂为酞箐、二甲基噻吩衍生物及</w:t>
      </w:r>
      <w:r w:rsidRPr="00DF1104">
        <w:rPr>
          <w:rFonts w:eastAsia="仿宋_GB2312"/>
          <w:kern w:val="0"/>
          <w:sz w:val="32"/>
          <w:szCs w:val="32"/>
        </w:rPr>
        <w:t>Eu</w:t>
      </w:r>
      <w:r w:rsidRPr="00DF1104">
        <w:rPr>
          <w:rFonts w:eastAsia="仿宋_GB2312"/>
          <w:kern w:val="0"/>
          <w:sz w:val="32"/>
          <w:szCs w:val="32"/>
        </w:rPr>
        <w:t>螯合物等。</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化学发光免疫技术根据反应过程中标记物是否需要分离可分为均相反应和非均相反应。均相反应模式，如光激化学发光的免疫反应，包被有抗体或抗原的感光珠与发光珠均匀分布在反应体系中，在分子作用力下自由运动，通过目标抗原或抗体连接发光。整个反应过程无需清洗和分离未结合的游离标记物和免疫复合物标记物。非均相反应模式为目前临床使用的全自动化学发光免疫分析仪通常采用的模式，通过采用固相分离、过滤分离、珠式分离、顺磁性颗粒分离等方式实现游离标记物和免疫复合物标记物的分离，其中顺磁性颗粒分离较其他分离方式更为常用。</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适用于采用上述化学发光免疫技术和反应原理对人体血清、血浆或者其他体液样本中的被分析物进行定性或定量检测的全自动化学发光免疫分析仪。对基于其他发光免疫技术和反应原理的产品，可参照本指导原则相关适用条款准备注册申报资料。对临床适用范围广泛，全自动化学发光免疫分析只是其适用范围某一部分的临床分析仪器，亦可参照本指导原则准备全自动化学发光免疫分析部分的注册申报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本指导原则适用于申请产品注册和相关变更注册的产品。</w:t>
      </w:r>
    </w:p>
    <w:p w:rsidR="004B123A" w:rsidRPr="00DF1104" w:rsidRDefault="004B123A" w:rsidP="004B123A">
      <w:pPr>
        <w:numPr>
          <w:ilvl w:val="255"/>
          <w:numId w:val="0"/>
        </w:numPr>
        <w:spacing w:line="520" w:lineRule="exact"/>
        <w:ind w:rightChars="-32" w:right="-67" w:firstLineChars="200" w:firstLine="640"/>
        <w:rPr>
          <w:rFonts w:eastAsia="黑体"/>
          <w:sz w:val="32"/>
          <w:szCs w:val="32"/>
        </w:rPr>
      </w:pPr>
      <w:r w:rsidRPr="00DF1104">
        <w:rPr>
          <w:rFonts w:eastAsia="黑体"/>
          <w:sz w:val="32"/>
          <w:szCs w:val="32"/>
        </w:rPr>
        <w:t>二、注册审查要点</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t>（一）监管信息</w:t>
      </w:r>
    </w:p>
    <w:p w:rsidR="004B123A" w:rsidRPr="00DF1104" w:rsidRDefault="004B123A" w:rsidP="004B123A">
      <w:pPr>
        <w:spacing w:line="520" w:lineRule="exact"/>
        <w:ind w:firstLineChars="200" w:firstLine="640"/>
        <w:rPr>
          <w:rFonts w:eastAsia="仿宋_GB2312"/>
          <w:sz w:val="32"/>
          <w:szCs w:val="28"/>
        </w:rPr>
      </w:pPr>
      <w:r w:rsidRPr="00DF1104">
        <w:rPr>
          <w:rFonts w:eastAsia="仿宋_GB2312"/>
          <w:sz w:val="32"/>
          <w:szCs w:val="28"/>
        </w:rPr>
        <w:t>1.</w:t>
      </w:r>
      <w:r w:rsidRPr="00DF1104">
        <w:rPr>
          <w:rFonts w:eastAsia="仿宋_GB2312"/>
          <w:sz w:val="32"/>
          <w:szCs w:val="28"/>
        </w:rPr>
        <w:t>产品名称</w:t>
      </w:r>
    </w:p>
    <w:p w:rsidR="004B123A" w:rsidRPr="00DF1104" w:rsidRDefault="004B123A" w:rsidP="004B123A">
      <w:pPr>
        <w:spacing w:line="520" w:lineRule="exact"/>
        <w:ind w:firstLineChars="200" w:firstLine="640"/>
        <w:rPr>
          <w:rFonts w:eastAsia="仿宋_GB2312"/>
          <w:sz w:val="32"/>
          <w:szCs w:val="28"/>
        </w:rPr>
      </w:pPr>
      <w:r w:rsidRPr="00DF1104">
        <w:rPr>
          <w:rFonts w:eastAsia="仿宋_GB2312"/>
          <w:kern w:val="0"/>
          <w:sz w:val="32"/>
          <w:szCs w:val="32"/>
        </w:rPr>
        <w:t>依据《医疗器械分类目录》，建议将产品名称命名为全自动</w:t>
      </w:r>
      <w:r w:rsidRPr="00DF1104">
        <w:rPr>
          <w:rFonts w:eastAsia="仿宋_GB2312"/>
          <w:kern w:val="0"/>
          <w:sz w:val="32"/>
          <w:szCs w:val="32"/>
        </w:rPr>
        <w:lastRenderedPageBreak/>
        <w:t>化学发光免疫分析仪。申请人可结合申报产品的特征，直接选用《医疗器械分类目录》品名举例中的适用名称；也可根据医疗器械命名原则，参考《医疗器械分类目录》中的品名举例确定命名，并详细描述确定依据。</w:t>
      </w:r>
    </w:p>
    <w:p w:rsidR="004B123A" w:rsidRPr="00DF1104" w:rsidRDefault="004B123A" w:rsidP="004B123A">
      <w:pPr>
        <w:spacing w:line="520" w:lineRule="exact"/>
        <w:ind w:firstLineChars="200" w:firstLine="640"/>
        <w:rPr>
          <w:rFonts w:eastAsia="仿宋_GB2312"/>
          <w:sz w:val="32"/>
          <w:szCs w:val="28"/>
        </w:rPr>
      </w:pPr>
      <w:r w:rsidRPr="00DF1104">
        <w:rPr>
          <w:rFonts w:eastAsia="仿宋_GB2312"/>
          <w:sz w:val="32"/>
          <w:szCs w:val="28"/>
        </w:rPr>
        <w:t>2.</w:t>
      </w:r>
      <w:r w:rsidRPr="00DF1104">
        <w:rPr>
          <w:rFonts w:eastAsia="仿宋_GB2312"/>
          <w:sz w:val="32"/>
          <w:szCs w:val="28"/>
        </w:rPr>
        <w:t>分类编码</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sz w:val="32"/>
          <w:szCs w:val="28"/>
        </w:rPr>
        <w:t>根据《医疗器械分类目录》，全自动化学发光免疫分析仪管理类别为</w:t>
      </w:r>
      <w:r w:rsidRPr="00DF1104">
        <w:rPr>
          <w:rFonts w:eastAsia="仿宋_GB2312"/>
          <w:sz w:val="32"/>
          <w:szCs w:val="28"/>
        </w:rPr>
        <w:t>Ⅱ</w:t>
      </w:r>
      <w:r w:rsidRPr="00DF1104">
        <w:rPr>
          <w:rFonts w:eastAsia="仿宋_GB2312"/>
          <w:sz w:val="32"/>
          <w:szCs w:val="28"/>
        </w:rPr>
        <w:t>类，分类编码为</w:t>
      </w:r>
      <w:r w:rsidRPr="00DF1104">
        <w:rPr>
          <w:rFonts w:eastAsia="仿宋_GB2312"/>
          <w:kern w:val="0"/>
          <w:sz w:val="32"/>
          <w:szCs w:val="32"/>
        </w:rPr>
        <w:t>22-04-02</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注册单元划分</w:t>
      </w:r>
    </w:p>
    <w:p w:rsidR="004B123A" w:rsidRPr="00DF1104" w:rsidRDefault="004B123A" w:rsidP="004B123A">
      <w:pPr>
        <w:adjustRightInd w:val="0"/>
        <w:snapToGrid w:val="0"/>
        <w:spacing w:line="520" w:lineRule="exact"/>
        <w:ind w:firstLine="640"/>
        <w:rPr>
          <w:rFonts w:eastAsia="仿宋_GB2312"/>
          <w:kern w:val="0"/>
          <w:sz w:val="32"/>
          <w:szCs w:val="32"/>
        </w:rPr>
      </w:pPr>
      <w:r w:rsidRPr="00DF1104">
        <w:rPr>
          <w:rFonts w:eastAsia="仿宋_GB2312"/>
          <w:kern w:val="0"/>
          <w:sz w:val="32"/>
          <w:szCs w:val="32"/>
        </w:rPr>
        <w:t>参照《医疗器械注册单元划分指导原则》中有源医疗器械注册单元划分的基本原则进行划分。</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原则上同一注册单元全自动化学发光免疫分析仪的技术原理、结构组成、性能指标和适用范围应基本一致，单一功能模块数量不同导致样本处理量存在差异的产品可以作为同一注册单元。全自动化学发光免疫分析仪包含样本前处理系统或进样系统时，不同的样本前处理系统或进样系统组合可以作为一个注册单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符合下列任一情况的产品，原则上划分为不同的注册单元：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w:t>
      </w:r>
      <w:r w:rsidRPr="00DF1104">
        <w:rPr>
          <w:rFonts w:eastAsia="仿宋_GB2312"/>
          <w:kern w:val="0"/>
          <w:sz w:val="32"/>
          <w:szCs w:val="32"/>
        </w:rPr>
        <w:t>）不同化学发光反应类型的产品，如基于吖啶酯类直接化学发光反应原理的产品与基于</w:t>
      </w:r>
      <w:r w:rsidRPr="00DF1104">
        <w:rPr>
          <w:rFonts w:eastAsia="仿宋_GB2312"/>
          <w:kern w:val="0"/>
          <w:sz w:val="32"/>
          <w:szCs w:val="32"/>
        </w:rPr>
        <w:t>AMPPD</w:t>
      </w:r>
      <w:r w:rsidRPr="00DF1104">
        <w:rPr>
          <w:rFonts w:eastAsia="仿宋_GB2312"/>
          <w:kern w:val="0"/>
          <w:sz w:val="32"/>
          <w:szCs w:val="32"/>
        </w:rPr>
        <w:t>和碱性磷酸酶的间接化学发光反应原理的产品，原则上划分为不同的注册单元。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）均相反应与非均相反应，以及在非均相反应模式下，游离标记物和免疫复合物标记物分离方法不同的产品，原则上划分为不同的注册单元。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w:t>
      </w:r>
      <w:r w:rsidRPr="00DF1104">
        <w:rPr>
          <w:rFonts w:eastAsia="仿宋_GB2312"/>
          <w:spacing w:val="-4"/>
          <w:kern w:val="0"/>
          <w:sz w:val="32"/>
          <w:szCs w:val="32"/>
        </w:rPr>
        <w:t>采用不同原理的光检测装置的产品，</w:t>
      </w:r>
      <w:r w:rsidRPr="00DF1104">
        <w:rPr>
          <w:rFonts w:eastAsia="仿宋_GB2312"/>
          <w:kern w:val="0"/>
          <w:sz w:val="32"/>
          <w:szCs w:val="32"/>
        </w:rPr>
        <w:t>原则上</w:t>
      </w:r>
      <w:r w:rsidRPr="00DF1104">
        <w:rPr>
          <w:rFonts w:eastAsia="仿宋_GB2312"/>
          <w:spacing w:val="-4"/>
          <w:kern w:val="0"/>
          <w:sz w:val="32"/>
          <w:szCs w:val="32"/>
        </w:rPr>
        <w:t>划分为不同的注册单元。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4</w:t>
      </w:r>
      <w:r w:rsidRPr="00DF1104">
        <w:rPr>
          <w:rFonts w:eastAsia="仿宋_GB2312"/>
          <w:kern w:val="0"/>
          <w:sz w:val="32"/>
          <w:szCs w:val="32"/>
        </w:rPr>
        <w:t>）化学发光反应类型相同，游离标记物和免疫复合物标</w:t>
      </w:r>
      <w:r w:rsidRPr="00DF1104">
        <w:rPr>
          <w:rFonts w:eastAsia="仿宋_GB2312"/>
          <w:kern w:val="0"/>
          <w:sz w:val="32"/>
          <w:szCs w:val="32"/>
        </w:rPr>
        <w:lastRenderedPageBreak/>
        <w:t>记物分离方法相同，预期用途基本相同，但因产品主要设计结构的不同对安全性、有效性有显著影响的产品，无论产品在样本处理速度、样本处理量、分析性能指标、运行模式等方面是否存在差异，均应划分为不同的注册单元。</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t>（二）综述资料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w:t>
      </w:r>
      <w:r w:rsidRPr="00DF1104">
        <w:rPr>
          <w:rFonts w:eastAsia="仿宋_GB2312"/>
          <w:kern w:val="0"/>
          <w:sz w:val="32"/>
          <w:szCs w:val="32"/>
        </w:rPr>
        <w:t>工作原理</w:t>
      </w:r>
    </w:p>
    <w:p w:rsidR="004B123A" w:rsidRPr="00DF1104" w:rsidRDefault="004B123A" w:rsidP="004B123A">
      <w:pPr>
        <w:tabs>
          <w:tab w:val="left" w:pos="8040"/>
        </w:tabs>
        <w:adjustRightInd w:val="0"/>
        <w:snapToGrid w:val="0"/>
        <w:spacing w:line="520" w:lineRule="exact"/>
        <w:ind w:firstLineChars="200" w:firstLine="640"/>
        <w:rPr>
          <w:rFonts w:eastAsia="仿宋_GB2312"/>
          <w:sz w:val="32"/>
          <w:szCs w:val="32"/>
        </w:rPr>
      </w:pPr>
      <w:r w:rsidRPr="00DF1104">
        <w:rPr>
          <w:rFonts w:eastAsia="仿宋_GB2312"/>
          <w:sz w:val="32"/>
          <w:szCs w:val="32"/>
        </w:rPr>
        <w:t>化学发光免疫分析主要包含两个部分</w:t>
      </w:r>
      <w:r w:rsidRPr="00DF1104">
        <w:rPr>
          <w:rFonts w:eastAsia="仿宋_GB2312"/>
          <w:sz w:val="32"/>
          <w:szCs w:val="32"/>
        </w:rPr>
        <w:t xml:space="preserve">, </w:t>
      </w:r>
      <w:r w:rsidRPr="00DF1104">
        <w:rPr>
          <w:rFonts w:eastAsia="仿宋_GB2312"/>
          <w:sz w:val="32"/>
          <w:szCs w:val="32"/>
        </w:rPr>
        <w:t>即化学发光分析部分和免疫反应部分。化学发光分析主要是利用某些化合物，如鲁米诺（</w:t>
      </w:r>
      <w:r w:rsidRPr="00DF1104">
        <w:rPr>
          <w:rFonts w:eastAsia="仿宋_GB2312"/>
          <w:sz w:val="32"/>
          <w:szCs w:val="32"/>
        </w:rPr>
        <w:t>luminol</w:t>
      </w:r>
      <w:r w:rsidRPr="00DF1104">
        <w:rPr>
          <w:rFonts w:eastAsia="仿宋_GB2312"/>
          <w:sz w:val="32"/>
          <w:szCs w:val="32"/>
        </w:rPr>
        <w:t>）、异鲁米诺（</w:t>
      </w:r>
      <w:r w:rsidRPr="00DF1104">
        <w:rPr>
          <w:rFonts w:eastAsia="仿宋_GB2312"/>
          <w:sz w:val="32"/>
          <w:szCs w:val="32"/>
        </w:rPr>
        <w:t>isoluminol</w:t>
      </w:r>
      <w:r w:rsidRPr="00DF1104">
        <w:rPr>
          <w:rFonts w:eastAsia="仿宋_GB2312"/>
          <w:sz w:val="32"/>
          <w:szCs w:val="32"/>
        </w:rPr>
        <w:t>）、金刚烷（</w:t>
      </w:r>
      <w:r w:rsidRPr="00DF1104">
        <w:rPr>
          <w:rFonts w:eastAsia="仿宋_GB2312"/>
          <w:sz w:val="32"/>
          <w:szCs w:val="32"/>
        </w:rPr>
        <w:t>AMPPD</w:t>
      </w:r>
      <w:r w:rsidRPr="00DF1104">
        <w:rPr>
          <w:rFonts w:eastAsia="仿宋_GB2312"/>
          <w:sz w:val="32"/>
          <w:szCs w:val="32"/>
        </w:rPr>
        <w:t>）及吖啶酯（</w:t>
      </w:r>
      <w:r w:rsidRPr="00DF1104">
        <w:rPr>
          <w:rFonts w:eastAsia="仿宋_GB2312"/>
          <w:sz w:val="32"/>
          <w:szCs w:val="32"/>
        </w:rPr>
        <w:t>AE</w:t>
      </w:r>
      <w:r w:rsidRPr="00DF1104">
        <w:rPr>
          <w:rFonts w:eastAsia="仿宋_GB2312"/>
          <w:sz w:val="32"/>
          <w:szCs w:val="32"/>
        </w:rPr>
        <w:t>）等，经氧化剂氧化或催化剂催化后成为激发态产物，当其回到基态时会发射光子，利用</w:t>
      </w:r>
      <w:r w:rsidRPr="00DF1104">
        <w:rPr>
          <w:rFonts w:eastAsia="仿宋_GB2312"/>
          <w:kern w:val="0"/>
          <w:sz w:val="32"/>
          <w:szCs w:val="32"/>
        </w:rPr>
        <w:t>光检测装置</w:t>
      </w:r>
      <w:r w:rsidRPr="00DF1104">
        <w:rPr>
          <w:rFonts w:eastAsia="仿宋_GB2312"/>
          <w:sz w:val="32"/>
          <w:szCs w:val="32"/>
        </w:rPr>
        <w:t>可测量光光信号的强度。</w:t>
      </w:r>
      <w:r w:rsidRPr="00DF1104">
        <w:rPr>
          <w:rFonts w:eastAsia="仿宋_GB2312"/>
          <w:kern w:val="0"/>
          <w:sz w:val="32"/>
          <w:szCs w:val="32"/>
        </w:rPr>
        <w:t>免疫反应根据反应的模式不同，可分为夹心法、竞争法、捕获法等。</w:t>
      </w:r>
      <w:r w:rsidRPr="00DF1104">
        <w:rPr>
          <w:rFonts w:eastAsia="仿宋_GB2312"/>
          <w:sz w:val="32"/>
          <w:szCs w:val="32"/>
        </w:rPr>
        <w:t>将发光物质直接标记在抗原或抗体上或酶作用于发光底物，产生的光信号的强度与待测物的浓度可成比例。</w:t>
      </w:r>
    </w:p>
    <w:p w:rsidR="004B123A" w:rsidRPr="00DF1104" w:rsidRDefault="004B123A" w:rsidP="004B123A">
      <w:pPr>
        <w:tabs>
          <w:tab w:val="left" w:pos="8040"/>
        </w:tabs>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无论基于何种化学发光免疫原理和免疫反应模式，其最终结果均需要通过光检测装置检测反应的光强度，通过随机软件将发光强度转化为被分析物的浓度。目前，</w:t>
      </w:r>
      <w:r w:rsidRPr="00DF1104">
        <w:rPr>
          <w:rFonts w:eastAsia="仿宋_GB2312"/>
          <w:sz w:val="32"/>
          <w:szCs w:val="32"/>
        </w:rPr>
        <w:t>化学发光免疫分析仪器中核心探测器件为光电倍增管（</w:t>
      </w:r>
      <w:r w:rsidRPr="00DF1104">
        <w:rPr>
          <w:rFonts w:eastAsia="仿宋_GB2312"/>
          <w:sz w:val="32"/>
          <w:szCs w:val="32"/>
        </w:rPr>
        <w:t>PMT</w:t>
      </w:r>
      <w:r w:rsidRPr="00DF1104">
        <w:rPr>
          <w:rFonts w:eastAsia="仿宋_GB2312"/>
          <w:sz w:val="32"/>
          <w:szCs w:val="32"/>
        </w:rPr>
        <w:t>）或其他高灵敏度传感器，由单光子检测并传输至放大器，并加高压电流放大，放大器将模拟信号转化为数字信号，数字信号将发光信号传输给数据处理软件并加以计算，得出</w:t>
      </w:r>
      <w:r w:rsidRPr="00DF1104">
        <w:rPr>
          <w:rFonts w:eastAsia="仿宋_GB2312"/>
          <w:kern w:val="0"/>
          <w:sz w:val="32"/>
          <w:szCs w:val="32"/>
        </w:rPr>
        <w:t>被分析物的浓度</w:t>
      </w:r>
      <w:r w:rsidRPr="00DF1104">
        <w:rPr>
          <w:rFonts w:eastAsia="仿宋_GB2312"/>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申请人应当根据申报产品的特点按照反应步骤写明工作原理，重点对化学免疫反应及光检测装置进行详细描述，免疫反应部分应采用文字加图示的方式对申报产品能够进行的反应类型分别描述，光检测装置部分应结合申报产品采用发光剂的具体情况进行描述，并写明申报产品区别于其他同类已上市产品的特征</w:t>
      </w:r>
      <w:r w:rsidRPr="00DF1104">
        <w:rPr>
          <w:rFonts w:eastAsia="仿宋_GB2312"/>
          <w:kern w:val="0"/>
          <w:sz w:val="32"/>
          <w:szCs w:val="32"/>
        </w:rPr>
        <w:lastRenderedPageBreak/>
        <w:t>（可以表格形式逐条进行描述）。</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2.</w:t>
      </w:r>
      <w:r w:rsidRPr="00DF1104">
        <w:rPr>
          <w:rFonts w:eastAsia="仿宋_GB2312"/>
          <w:kern w:val="0"/>
          <w:sz w:val="32"/>
          <w:szCs w:val="32"/>
        </w:rPr>
        <w:t>结构及组成</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分析仪通常由材料配备模块、液路模块、温度控制模块、机械传动模块、光路检测模块、电路控制模块和软件等组成。材料配备模块包括反应杯仓、样品仓、试剂仓以及清洗液和废液等液体在仪器上的贮存和处理装置；液路模块包括真空泵、管道、样本探针及试剂探针等；温度控制模块包括孵育器、试剂保温器等；机械传动模块包括传感器、运输轨道、机械臂等；光路检测模块包括光电倍增管（</w:t>
      </w:r>
      <w:r w:rsidRPr="00DF1104">
        <w:rPr>
          <w:rFonts w:eastAsia="仿宋_GB2312"/>
          <w:kern w:val="0"/>
          <w:sz w:val="32"/>
          <w:szCs w:val="32"/>
        </w:rPr>
        <w:t>Photomultiplier</w:t>
      </w:r>
      <w:r w:rsidRPr="00DF1104">
        <w:rPr>
          <w:rFonts w:eastAsia="仿宋_GB2312"/>
          <w:kern w:val="0"/>
          <w:sz w:val="32"/>
          <w:szCs w:val="32"/>
        </w:rPr>
        <w:t>，</w:t>
      </w:r>
      <w:r w:rsidRPr="00DF1104">
        <w:rPr>
          <w:rFonts w:eastAsia="仿宋_GB2312"/>
          <w:kern w:val="0"/>
          <w:sz w:val="32"/>
          <w:szCs w:val="32"/>
        </w:rPr>
        <w:t>PMT</w:t>
      </w:r>
      <w:r w:rsidRPr="00DF1104">
        <w:rPr>
          <w:rFonts w:eastAsia="仿宋_GB2312"/>
          <w:kern w:val="0"/>
          <w:sz w:val="32"/>
          <w:szCs w:val="32"/>
        </w:rPr>
        <w:t>）；电路控制模块包括电源和线路控制板。软件主要用于仪器的程控操作、检测结果的数据处理和指示判定。</w:t>
      </w:r>
      <w:r w:rsidRPr="00DF1104">
        <w:rPr>
          <w:rFonts w:eastAsia="仿宋_GB2312"/>
          <w:color w:val="000000"/>
          <w:kern w:val="0"/>
          <w:sz w:val="32"/>
          <w:szCs w:val="32"/>
        </w:rPr>
        <w:t>不同生</w:t>
      </w:r>
      <w:r w:rsidRPr="00DF1104">
        <w:rPr>
          <w:rFonts w:eastAsia="仿宋_GB2312"/>
          <w:kern w:val="0"/>
          <w:sz w:val="32"/>
          <w:szCs w:val="32"/>
        </w:rPr>
        <w:t>产企业的产品，在结构上可能存在一定差异，需根据具体产品特性准确描述结构组成。</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申请人应当根据拟申报产品的具体特征详细描述各组成模块、各模块的具体组成部分以及各关键元器件</w:t>
      </w:r>
      <w:r w:rsidRPr="00DF1104">
        <w:rPr>
          <w:rFonts w:eastAsia="仿宋_GB2312"/>
          <w:kern w:val="0"/>
          <w:sz w:val="32"/>
          <w:szCs w:val="32"/>
        </w:rPr>
        <w:t>/</w:t>
      </w:r>
      <w:r w:rsidRPr="00DF1104">
        <w:rPr>
          <w:rFonts w:eastAsia="仿宋_GB2312"/>
          <w:kern w:val="0"/>
          <w:sz w:val="32"/>
          <w:szCs w:val="32"/>
        </w:rPr>
        <w:t>部件的名称、生产企业和质量标准，并详细描述申报产品的主要功能及各组成模块的功能，可以采用图示结合文字描述的形式给予明确说明。</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产品型号规格</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对于同一注册单元申报产品存在多种型号规格的，应当明确各型号规格之间的区别，应当采用表格加说明性文字的图片、图表，对各型号规格的结构组成</w:t>
      </w:r>
      <w:r w:rsidRPr="00DF1104">
        <w:rPr>
          <w:rFonts w:eastAsia="仿宋_GB2312"/>
          <w:sz w:val="32"/>
          <w:szCs w:val="32"/>
        </w:rPr>
        <w:t>（或配置）</w:t>
      </w:r>
      <w:r w:rsidRPr="00DF1104">
        <w:rPr>
          <w:rFonts w:eastAsia="仿宋_GB2312"/>
          <w:kern w:val="0"/>
          <w:sz w:val="32"/>
          <w:szCs w:val="32"/>
        </w:rPr>
        <w:t>、功能、</w:t>
      </w:r>
      <w:r w:rsidRPr="00DF1104">
        <w:rPr>
          <w:rFonts w:eastAsia="仿宋_GB2312"/>
          <w:sz w:val="32"/>
          <w:szCs w:val="32"/>
        </w:rPr>
        <w:t>产品特征和运行模式、技术参数、</w:t>
      </w:r>
      <w:r w:rsidRPr="00DF1104">
        <w:rPr>
          <w:rFonts w:eastAsia="仿宋_GB2312"/>
          <w:kern w:val="0"/>
          <w:sz w:val="32"/>
          <w:szCs w:val="32"/>
        </w:rPr>
        <w:t>性能指标等方面的差异进行描述。</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w:t>
      </w:r>
      <w:r w:rsidRPr="00DF1104">
        <w:rPr>
          <w:rFonts w:eastAsia="仿宋_GB2312"/>
          <w:kern w:val="0"/>
          <w:sz w:val="32"/>
          <w:szCs w:val="32"/>
        </w:rPr>
        <w:t>适用范围</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4.1</w:t>
      </w:r>
      <w:r w:rsidRPr="00DF1104">
        <w:rPr>
          <w:rFonts w:eastAsia="仿宋_GB2312"/>
          <w:kern w:val="0"/>
          <w:sz w:val="32"/>
          <w:szCs w:val="32"/>
        </w:rPr>
        <w:t>适用范围</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4.1.1</w:t>
      </w:r>
      <w:r w:rsidRPr="00DF1104">
        <w:rPr>
          <w:rFonts w:eastAsia="仿宋_GB2312"/>
          <w:kern w:val="0"/>
          <w:sz w:val="32"/>
          <w:szCs w:val="32"/>
        </w:rPr>
        <w:t>明确写明申报产品的预期用途，建议采用以下形式描述：</w:t>
      </w:r>
      <w:r w:rsidRPr="00DF1104">
        <w:rPr>
          <w:rFonts w:eastAsia="仿宋_GB2312"/>
          <w:kern w:val="0"/>
          <w:sz w:val="32"/>
          <w:szCs w:val="32"/>
        </w:rPr>
        <w:t>“</w:t>
      </w:r>
      <w:r w:rsidRPr="00DF1104">
        <w:rPr>
          <w:rFonts w:eastAsia="仿宋_GB2312"/>
          <w:kern w:val="0"/>
          <w:sz w:val="32"/>
          <w:szCs w:val="32"/>
        </w:rPr>
        <w:t>该产品采用</w:t>
      </w:r>
      <w:r w:rsidRPr="00DF1104">
        <w:rPr>
          <w:rFonts w:eastAsia="仿宋_GB2312"/>
          <w:kern w:val="0"/>
          <w:sz w:val="32"/>
          <w:szCs w:val="32"/>
        </w:rPr>
        <w:t>××</w:t>
      </w:r>
      <w:r w:rsidRPr="00DF1104">
        <w:rPr>
          <w:rFonts w:eastAsia="仿宋_GB2312"/>
          <w:kern w:val="0"/>
          <w:sz w:val="32"/>
          <w:szCs w:val="32"/>
        </w:rPr>
        <w:t>法，与配套的检测试剂共同使用，在临床上用于对来源于人体的</w:t>
      </w:r>
      <w:r w:rsidRPr="00DF1104">
        <w:rPr>
          <w:rFonts w:eastAsia="仿宋_GB2312"/>
          <w:kern w:val="0"/>
          <w:sz w:val="32"/>
          <w:szCs w:val="32"/>
        </w:rPr>
        <w:t>×××</w:t>
      </w:r>
      <w:r w:rsidRPr="00DF1104">
        <w:rPr>
          <w:rFonts w:eastAsia="仿宋_GB2312"/>
          <w:kern w:val="0"/>
          <w:sz w:val="32"/>
          <w:szCs w:val="32"/>
        </w:rPr>
        <w:t>样本中的被分析物进行定性或定量检</w:t>
      </w:r>
      <w:r w:rsidRPr="00DF1104">
        <w:rPr>
          <w:rFonts w:eastAsia="仿宋_GB2312"/>
          <w:kern w:val="0"/>
          <w:sz w:val="32"/>
          <w:szCs w:val="32"/>
        </w:rPr>
        <w:lastRenderedPageBreak/>
        <w:t>测，包括</w:t>
      </w:r>
      <w:r w:rsidRPr="00DF1104">
        <w:rPr>
          <w:rFonts w:eastAsia="仿宋_GB2312"/>
          <w:kern w:val="0"/>
          <w:sz w:val="32"/>
          <w:szCs w:val="32"/>
        </w:rPr>
        <w:t>××××</w:t>
      </w:r>
      <w:r w:rsidRPr="00DF1104">
        <w:rPr>
          <w:rFonts w:eastAsia="仿宋_GB2312"/>
          <w:kern w:val="0"/>
          <w:sz w:val="32"/>
          <w:szCs w:val="32"/>
        </w:rPr>
        <w:t>项目类别</w:t>
      </w:r>
      <w:r w:rsidRPr="00DF1104">
        <w:rPr>
          <w:rFonts w:eastAsia="仿宋_GB2312"/>
          <w:kern w:val="0"/>
          <w:sz w:val="32"/>
          <w:szCs w:val="32"/>
        </w:rPr>
        <w:t>”</w:t>
      </w:r>
      <w:r w:rsidRPr="00DF1104">
        <w:rPr>
          <w:rFonts w:eastAsia="仿宋_GB2312"/>
          <w:kern w:val="0"/>
          <w:sz w:val="32"/>
          <w:szCs w:val="32"/>
        </w:rPr>
        <w:t>。其中，</w:t>
      </w:r>
      <w:r w:rsidRPr="00DF1104">
        <w:rPr>
          <w:rFonts w:eastAsia="仿宋_GB2312"/>
          <w:kern w:val="0"/>
          <w:sz w:val="32"/>
          <w:szCs w:val="32"/>
        </w:rPr>
        <w:t>××</w:t>
      </w:r>
      <w:r w:rsidRPr="00DF1104">
        <w:rPr>
          <w:rFonts w:eastAsia="仿宋_GB2312"/>
          <w:kern w:val="0"/>
          <w:sz w:val="32"/>
          <w:szCs w:val="32"/>
        </w:rPr>
        <w:t>法应当依据申报产品采用的发光剂类型写明具体方法，如基于吖啶酯的直接化学发光法、基于</w:t>
      </w:r>
      <w:r w:rsidRPr="00DF1104">
        <w:rPr>
          <w:rFonts w:eastAsia="仿宋_GB2312"/>
          <w:kern w:val="0"/>
          <w:sz w:val="32"/>
          <w:szCs w:val="32"/>
        </w:rPr>
        <w:t>AMPPD</w:t>
      </w:r>
      <w:r w:rsidRPr="00DF1104">
        <w:rPr>
          <w:rFonts w:eastAsia="仿宋_GB2312"/>
          <w:kern w:val="0"/>
          <w:sz w:val="32"/>
          <w:szCs w:val="32"/>
        </w:rPr>
        <w:t>和碱性磷酸酶的间接化学发光法、基于辣根过氧化物酶和鲁米诺的间接化学发光法等；</w:t>
      </w:r>
      <w:r w:rsidRPr="00DF1104">
        <w:rPr>
          <w:rFonts w:eastAsia="仿宋_GB2312"/>
          <w:kern w:val="0"/>
          <w:sz w:val="32"/>
          <w:szCs w:val="32"/>
        </w:rPr>
        <w:t>×××</w:t>
      </w:r>
      <w:r w:rsidRPr="00DF1104">
        <w:rPr>
          <w:rFonts w:eastAsia="仿宋_GB2312"/>
          <w:kern w:val="0"/>
          <w:sz w:val="32"/>
          <w:szCs w:val="32"/>
        </w:rPr>
        <w:t>包括血清、血浆、尿液、脑脊液等临床分析常见的样本类型，应当根据研究资料的具体结果明确写明申报产品适用的样本类型；</w:t>
      </w:r>
      <w:r w:rsidRPr="00DF1104">
        <w:rPr>
          <w:rFonts w:eastAsia="仿宋_GB2312"/>
          <w:kern w:val="0"/>
          <w:sz w:val="32"/>
          <w:szCs w:val="32"/>
        </w:rPr>
        <w:t>××××</w:t>
      </w:r>
      <w:r w:rsidRPr="00DF1104">
        <w:rPr>
          <w:rFonts w:eastAsia="仿宋_GB2312"/>
          <w:kern w:val="0"/>
          <w:sz w:val="32"/>
          <w:szCs w:val="32"/>
        </w:rPr>
        <w:t>项目应当根据研究资料的具体结果写明申报产品可以检测的被分析物的大类名称，</w:t>
      </w:r>
      <w:r w:rsidRPr="00DF1104">
        <w:rPr>
          <w:rFonts w:eastAsia="仿宋_GB2312"/>
          <w:sz w:val="32"/>
          <w:szCs w:val="32"/>
        </w:rPr>
        <w:t>如</w:t>
      </w:r>
      <w:r w:rsidRPr="00DF1104">
        <w:rPr>
          <w:rFonts w:eastAsia="仿宋_GB2312"/>
          <w:kern w:val="0"/>
          <w:sz w:val="32"/>
          <w:szCs w:val="32"/>
        </w:rPr>
        <w:t>蛋白质、激素、酶类、肿瘤标志物、维生素、药物、过敏原等。</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4.1.2</w:t>
      </w:r>
      <w:r w:rsidRPr="00DF1104">
        <w:rPr>
          <w:rFonts w:eastAsia="仿宋_GB2312"/>
          <w:kern w:val="0"/>
          <w:sz w:val="32"/>
          <w:szCs w:val="32"/>
        </w:rPr>
        <w:t>明确写明目标用户为经专业培训的医疗卫生机构的检验人员，并写明相关人员操作申报产品应当具备的基本能力要求。</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4.2</w:t>
      </w:r>
      <w:r w:rsidRPr="00DF1104">
        <w:rPr>
          <w:rFonts w:eastAsia="仿宋_GB2312"/>
          <w:kern w:val="0"/>
          <w:sz w:val="32"/>
          <w:szCs w:val="32"/>
        </w:rPr>
        <w:t>预期使用环境</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4.2.1</w:t>
      </w:r>
      <w:r w:rsidRPr="00DF1104">
        <w:rPr>
          <w:rFonts w:eastAsia="仿宋_GB2312"/>
          <w:kern w:val="0"/>
          <w:sz w:val="32"/>
          <w:szCs w:val="32"/>
        </w:rPr>
        <w:t>明确写明申报产品预期使用的地点，如医疗卫生机构检验科。</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4.2.2</w:t>
      </w:r>
      <w:r w:rsidRPr="00DF1104">
        <w:rPr>
          <w:rFonts w:eastAsia="仿宋_GB2312"/>
          <w:kern w:val="0"/>
          <w:sz w:val="32"/>
          <w:szCs w:val="32"/>
        </w:rPr>
        <w:t>明确写明可能会影响申报产品安全性和有效性的环境条件，即申报产品的正常工作条件，包括温度、湿度、海拔高度、电源要求等，对每一条件均应给出具体的指标要求，如温度范围在</w:t>
      </w:r>
      <w:r w:rsidRPr="00DF1104">
        <w:rPr>
          <w:rFonts w:eastAsia="仿宋_GB2312"/>
          <w:kern w:val="0"/>
          <w:sz w:val="32"/>
          <w:szCs w:val="32"/>
        </w:rPr>
        <w:t>10℃</w:t>
      </w:r>
      <w:r w:rsidRPr="00DF1104">
        <w:rPr>
          <w:rFonts w:eastAsia="仿宋_GB2312"/>
          <w:kern w:val="0"/>
          <w:sz w:val="32"/>
          <w:szCs w:val="32"/>
        </w:rPr>
        <w:t>～</w:t>
      </w:r>
      <w:r w:rsidRPr="00DF1104">
        <w:rPr>
          <w:rFonts w:eastAsia="仿宋_GB2312"/>
          <w:kern w:val="0"/>
          <w:sz w:val="32"/>
          <w:szCs w:val="32"/>
        </w:rPr>
        <w:t>30℃</w:t>
      </w:r>
      <w:r w:rsidRPr="00DF1104">
        <w:rPr>
          <w:rFonts w:eastAsia="仿宋_GB2312"/>
          <w:kern w:val="0"/>
          <w:sz w:val="32"/>
          <w:szCs w:val="32"/>
        </w:rPr>
        <w:t>。</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t>（三）非临床资料</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产品风险管理资料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申请人应参考</w:t>
      </w:r>
      <w:r w:rsidRPr="00DF1104">
        <w:rPr>
          <w:rFonts w:eastAsia="仿宋_GB2312"/>
          <w:kern w:val="0"/>
          <w:sz w:val="32"/>
          <w:szCs w:val="32"/>
        </w:rPr>
        <w:t>GB/T 42062</w:t>
      </w:r>
      <w:r w:rsidRPr="00DF1104">
        <w:rPr>
          <w:rFonts w:eastAsia="仿宋_GB2312"/>
          <w:kern w:val="0"/>
          <w:sz w:val="32"/>
          <w:szCs w:val="32"/>
        </w:rPr>
        <w:t>《医疗器械</w:t>
      </w:r>
      <w:r w:rsidRPr="00DF1104">
        <w:rPr>
          <w:rFonts w:eastAsia="仿宋_GB2312"/>
          <w:kern w:val="0"/>
          <w:sz w:val="32"/>
          <w:szCs w:val="32"/>
        </w:rPr>
        <w:t xml:space="preserve"> </w:t>
      </w:r>
      <w:r w:rsidRPr="00DF1104">
        <w:rPr>
          <w:rFonts w:eastAsia="仿宋_GB2312"/>
          <w:kern w:val="0"/>
          <w:sz w:val="32"/>
          <w:szCs w:val="32"/>
        </w:rPr>
        <w:t>风险管理对医疗器械的应用》规定的过程和方法，在产品生命周期内对申报产品可能造成的危险进行判定（</w:t>
      </w:r>
      <w:r w:rsidRPr="00DF1104">
        <w:rPr>
          <w:rFonts w:eastAsia="仿宋_GB2312"/>
          <w:kern w:val="0"/>
          <w:sz w:val="32"/>
          <w:szCs w:val="32"/>
        </w:rPr>
        <w:t>YY/T 1437</w:t>
      </w:r>
      <w:r w:rsidRPr="00DF1104">
        <w:rPr>
          <w:rFonts w:eastAsia="仿宋_GB2312"/>
          <w:kern w:val="0"/>
          <w:sz w:val="32"/>
          <w:szCs w:val="32"/>
        </w:rPr>
        <w:t>），对每一危险处境的风险进行判定和评价，形成风险管理报告，控制这些风险并监视控制的有效性，充分保证产品的安全性和有效性。</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1.1</w:t>
      </w:r>
      <w:r w:rsidRPr="00DF1104">
        <w:rPr>
          <w:rFonts w:eastAsia="仿宋_GB2312"/>
          <w:kern w:val="0"/>
          <w:sz w:val="32"/>
          <w:szCs w:val="32"/>
        </w:rPr>
        <w:t>产品的主要危险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全自动化学发光免疫分析仪的主要危险大致可包括四个方</w:t>
      </w:r>
      <w:r w:rsidRPr="00DF1104">
        <w:rPr>
          <w:rFonts w:eastAsia="仿宋_GB2312"/>
          <w:kern w:val="0"/>
          <w:sz w:val="32"/>
          <w:szCs w:val="32"/>
        </w:rPr>
        <w:lastRenderedPageBreak/>
        <w:t>面，即：能量危险、生物学和化学危险、性能有关的危险。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1.1.1</w:t>
      </w:r>
      <w:r w:rsidRPr="00DF1104">
        <w:rPr>
          <w:rFonts w:eastAsia="仿宋_GB2312"/>
          <w:kern w:val="0"/>
          <w:sz w:val="32"/>
          <w:szCs w:val="32"/>
        </w:rPr>
        <w:t>能量危险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电磁能：漏电流，可能共同使用的设备（移动电话、离心机、生化分析仪等）对申报产品的电磁干扰，静电放电对申报产品产生的干扰，申报产品正常工作中产生的电磁场对可能共同使用的其他设备的影响等引发的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坠落：坠落导致机械部件松动，导致测量错误、误差过大或显示异常。</w:t>
      </w:r>
      <w:r w:rsidRPr="00DF1104">
        <w:rPr>
          <w:rFonts w:eastAsia="仿宋_GB2312"/>
          <w:kern w:val="0"/>
          <w:sz w:val="32"/>
          <w:szCs w:val="32"/>
        </w:rPr>
        <w:t xml:space="preserve"> </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1.1.2</w:t>
      </w:r>
      <w:r w:rsidRPr="00DF1104">
        <w:rPr>
          <w:rFonts w:eastAsia="仿宋_GB2312"/>
          <w:kern w:val="0"/>
          <w:sz w:val="32"/>
          <w:szCs w:val="32"/>
        </w:rPr>
        <w:t>生物学和化学危险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生物学：公共场所未经清洗、消毒的与人体接触的部件引起的交叉感染、申报产品的原材料有毒有害对人体造成的危险、检测完成后剩余样本、试剂和废弃物处理不当引起的交叉感染。</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化学：使用的清洁剂、消毒剂残留引发的危险。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1.1.3</w:t>
      </w:r>
      <w:r w:rsidRPr="00DF1104">
        <w:rPr>
          <w:rFonts w:eastAsia="仿宋_GB2312"/>
          <w:kern w:val="0"/>
          <w:sz w:val="32"/>
          <w:szCs w:val="32"/>
        </w:rPr>
        <w:t>性能有关的危险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不正确的测量：产品的检测装置超过寿命或长时间未经校准，导致误差过大。</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未按使用说明书中的要求进行测量，造成的测量失败、测量误差过大。</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使用不同厂家的或与分析仪不相匹配的试剂，造成的测量失败、测量误差过大。</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在制造商规定的使用环境条件外使用产品，可能造成测量误差过大，产品寿命降低。</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未按产品说明书的规定对申报产品进行保养、未按产品说明书的规定更换具有使用寿命的元器件，造成的产品工作不正常。</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说明书未对限制充分告知，未对不正确的操作、与其他设备共同使用时易产生的危险进行警告，未正确标示储存条件、消毒</w:t>
      </w:r>
      <w:r w:rsidRPr="00DF1104">
        <w:rPr>
          <w:rFonts w:eastAsia="仿宋_GB2312"/>
          <w:kern w:val="0"/>
          <w:sz w:val="32"/>
          <w:szCs w:val="32"/>
        </w:rPr>
        <w:lastRenderedPageBreak/>
        <w:t>方法、维护信息，未对因长期使用产生功能丧失而可能引发的危险进行警告，未对合理可预见的误用进行警告等引发的危险。</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1.2</w:t>
      </w:r>
      <w:r w:rsidRPr="00DF1104">
        <w:rPr>
          <w:rFonts w:eastAsia="仿宋_GB2312"/>
          <w:kern w:val="0"/>
          <w:sz w:val="32"/>
          <w:szCs w:val="32"/>
        </w:rPr>
        <w:t>可参考的附件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1.2.1</w:t>
      </w:r>
      <w:r w:rsidRPr="00DF1104">
        <w:rPr>
          <w:rFonts w:eastAsia="仿宋_GB2312"/>
          <w:kern w:val="0"/>
          <w:sz w:val="32"/>
          <w:szCs w:val="32"/>
        </w:rPr>
        <w:t>与产品有关的安全性特征判定可参考</w:t>
      </w:r>
      <w:r w:rsidRPr="00DF1104">
        <w:rPr>
          <w:rFonts w:eastAsia="仿宋_GB2312"/>
          <w:kern w:val="0"/>
          <w:sz w:val="32"/>
          <w:szCs w:val="32"/>
        </w:rPr>
        <w:t>YY/T 1437</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1.2.2</w:t>
      </w:r>
      <w:r w:rsidRPr="00DF1104">
        <w:rPr>
          <w:rFonts w:eastAsia="仿宋_GB2312"/>
          <w:kern w:val="0"/>
          <w:sz w:val="32"/>
          <w:szCs w:val="32"/>
        </w:rPr>
        <w:t>危险、可预见的事件序列和危险处境判断可参考</w:t>
      </w:r>
      <w:r w:rsidRPr="00DF1104">
        <w:rPr>
          <w:rFonts w:eastAsia="仿宋_GB2312"/>
          <w:kern w:val="0"/>
          <w:sz w:val="32"/>
          <w:szCs w:val="32"/>
        </w:rPr>
        <w:t>GB/T 42062</w:t>
      </w:r>
      <w:r w:rsidRPr="00DF1104">
        <w:rPr>
          <w:rFonts w:eastAsia="仿宋_GB2312"/>
          <w:kern w:val="0"/>
          <w:sz w:val="32"/>
          <w:szCs w:val="32"/>
        </w:rPr>
        <w:t>的附件</w:t>
      </w:r>
      <w:r w:rsidRPr="00DF1104">
        <w:rPr>
          <w:rFonts w:eastAsia="仿宋_GB2312"/>
          <w:kern w:val="0"/>
          <w:sz w:val="32"/>
          <w:szCs w:val="32"/>
        </w:rPr>
        <w:t>C</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1.2.3</w:t>
      </w:r>
      <w:r w:rsidRPr="00DF1104">
        <w:rPr>
          <w:rFonts w:eastAsia="仿宋_GB2312"/>
          <w:kern w:val="0"/>
          <w:sz w:val="32"/>
          <w:szCs w:val="32"/>
        </w:rPr>
        <w:t>风险控制的方案与实施、综合剩余风险的可接受性评价及生产和生产后监视相关方法可参考</w:t>
      </w:r>
      <w:r w:rsidRPr="00DF1104">
        <w:rPr>
          <w:rFonts w:eastAsia="仿宋_GB2312"/>
          <w:kern w:val="0"/>
          <w:sz w:val="32"/>
          <w:szCs w:val="32"/>
        </w:rPr>
        <w:t>YY/T 1437</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kern w:val="0"/>
          <w:sz w:val="32"/>
          <w:szCs w:val="32"/>
        </w:rPr>
        <w:t>2.</w:t>
      </w:r>
      <w:r w:rsidRPr="00DF1104">
        <w:rPr>
          <w:rFonts w:eastAsia="仿宋_GB2312"/>
          <w:sz w:val="32"/>
          <w:szCs w:val="32"/>
        </w:rPr>
        <w:t>产品技术要求及检验报告</w:t>
      </w:r>
    </w:p>
    <w:p w:rsidR="004B123A" w:rsidRPr="00DF1104" w:rsidRDefault="004B123A" w:rsidP="004B123A">
      <w:pPr>
        <w:widowControl/>
        <w:spacing w:line="520" w:lineRule="exact"/>
        <w:ind w:firstLineChars="200" w:firstLine="640"/>
        <w:rPr>
          <w:rFonts w:eastAsia="仿宋_GB2312"/>
          <w:sz w:val="32"/>
          <w:szCs w:val="32"/>
        </w:rPr>
      </w:pPr>
      <w:r w:rsidRPr="00DF1104">
        <w:rPr>
          <w:rFonts w:eastAsia="仿宋_GB2312"/>
          <w:sz w:val="32"/>
          <w:szCs w:val="32"/>
        </w:rPr>
        <w:t>2.1</w:t>
      </w:r>
      <w:r w:rsidRPr="00DF1104">
        <w:rPr>
          <w:rFonts w:eastAsia="仿宋_GB2312"/>
          <w:sz w:val="32"/>
          <w:szCs w:val="32"/>
        </w:rPr>
        <w:t>产品适用标准情况</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产品技术要求适用的国家标准和行业标准清单见表</w:t>
      </w:r>
      <w:r w:rsidRPr="00DF1104">
        <w:rPr>
          <w:rFonts w:eastAsia="仿宋_GB2312"/>
          <w:kern w:val="0"/>
          <w:sz w:val="32"/>
          <w:szCs w:val="32"/>
        </w:rPr>
        <w:t>1</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p>
    <w:p w:rsidR="004B123A" w:rsidRPr="00DF1104" w:rsidRDefault="004B123A" w:rsidP="004B123A">
      <w:pPr>
        <w:spacing w:line="520" w:lineRule="exact"/>
        <w:jc w:val="center"/>
        <w:rPr>
          <w:rFonts w:eastAsia="方正小标宋简体"/>
          <w:kern w:val="0"/>
          <w:sz w:val="32"/>
          <w:szCs w:val="32"/>
        </w:rPr>
      </w:pPr>
      <w:r w:rsidRPr="00DF1104">
        <w:rPr>
          <w:rFonts w:eastAsia="方正小标宋简体"/>
          <w:kern w:val="0"/>
          <w:sz w:val="28"/>
          <w:szCs w:val="28"/>
        </w:rPr>
        <w:t>表</w:t>
      </w:r>
      <w:r w:rsidRPr="00DF1104">
        <w:rPr>
          <w:rFonts w:eastAsia="方正小标宋简体"/>
          <w:kern w:val="0"/>
          <w:sz w:val="28"/>
          <w:szCs w:val="28"/>
        </w:rPr>
        <w:t xml:space="preserve">1 </w:t>
      </w:r>
      <w:r w:rsidRPr="00DF1104">
        <w:rPr>
          <w:rFonts w:eastAsia="方正小标宋简体"/>
          <w:kern w:val="0"/>
          <w:sz w:val="28"/>
          <w:szCs w:val="28"/>
        </w:rPr>
        <w:t>相关国家和行业标准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42"/>
      </w:tblGrid>
      <w:tr w:rsidR="004B123A" w:rsidRPr="00DF1104" w:rsidTr="00AE411F">
        <w:trPr>
          <w:jc w:val="center"/>
        </w:trPr>
        <w:tc>
          <w:tcPr>
            <w:tcW w:w="1980" w:type="dxa"/>
            <w:vAlign w:val="center"/>
          </w:tcPr>
          <w:p w:rsidR="004B123A" w:rsidRPr="007A5573" w:rsidRDefault="004B123A" w:rsidP="00AE411F">
            <w:pPr>
              <w:spacing w:line="480" w:lineRule="exact"/>
              <w:jc w:val="center"/>
              <w:rPr>
                <w:rFonts w:ascii="黑体" w:eastAsia="黑体" w:hAnsi="黑体"/>
                <w:sz w:val="28"/>
                <w:szCs w:val="28"/>
              </w:rPr>
            </w:pPr>
            <w:r w:rsidRPr="007A5573">
              <w:rPr>
                <w:rFonts w:ascii="黑体" w:eastAsia="黑体" w:hAnsi="黑体"/>
                <w:sz w:val="28"/>
                <w:szCs w:val="28"/>
              </w:rPr>
              <w:t>标准编号</w:t>
            </w:r>
          </w:p>
        </w:tc>
        <w:tc>
          <w:tcPr>
            <w:tcW w:w="6542" w:type="dxa"/>
          </w:tcPr>
          <w:p w:rsidR="004B123A" w:rsidRPr="007A5573" w:rsidRDefault="004B123A" w:rsidP="00AE411F">
            <w:pPr>
              <w:spacing w:line="480" w:lineRule="exact"/>
              <w:ind w:leftChars="-36" w:left="-76" w:firstLineChars="20" w:firstLine="56"/>
              <w:jc w:val="center"/>
              <w:rPr>
                <w:rFonts w:ascii="黑体" w:eastAsia="黑体" w:hAnsi="黑体"/>
                <w:sz w:val="28"/>
                <w:szCs w:val="28"/>
              </w:rPr>
            </w:pPr>
            <w:r w:rsidRPr="007A5573">
              <w:rPr>
                <w:rFonts w:ascii="黑体" w:eastAsia="黑体" w:hAnsi="黑体"/>
                <w:sz w:val="28"/>
                <w:szCs w:val="28"/>
              </w:rPr>
              <w:t>标准名称</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GB 4793.1</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《测量、控制和实验室用电气设备的安全要求</w:t>
            </w:r>
            <w:r w:rsidRPr="00DF1104">
              <w:rPr>
                <w:rFonts w:eastAsia="仿宋_GB2312"/>
                <w:sz w:val="28"/>
                <w:szCs w:val="28"/>
              </w:rPr>
              <w:t xml:space="preserve"> </w:t>
            </w:r>
            <w:r w:rsidRPr="00DF1104">
              <w:rPr>
                <w:rFonts w:eastAsia="仿宋_GB2312"/>
                <w:sz w:val="28"/>
                <w:szCs w:val="28"/>
              </w:rPr>
              <w:t>第</w:t>
            </w:r>
            <w:r w:rsidRPr="00DF1104">
              <w:rPr>
                <w:rFonts w:eastAsia="仿宋_GB2312"/>
                <w:sz w:val="28"/>
                <w:szCs w:val="28"/>
              </w:rPr>
              <w:t>1</w:t>
            </w:r>
            <w:r w:rsidRPr="00DF1104">
              <w:rPr>
                <w:rFonts w:eastAsia="仿宋_GB2312"/>
                <w:sz w:val="28"/>
                <w:szCs w:val="28"/>
              </w:rPr>
              <w:t>部分</w:t>
            </w:r>
            <w:r w:rsidRPr="00DF1104">
              <w:rPr>
                <w:rFonts w:eastAsia="仿宋_GB2312"/>
                <w:sz w:val="28"/>
                <w:szCs w:val="28"/>
              </w:rPr>
              <w:t>:</w:t>
            </w:r>
            <w:r w:rsidRPr="00DF1104">
              <w:rPr>
                <w:rFonts w:eastAsia="仿宋_GB2312"/>
                <w:sz w:val="28"/>
                <w:szCs w:val="28"/>
              </w:rPr>
              <w:t>通用要求》</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GB 4793.6</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《测量、控制和实验室用电气设备的安全要求</w:t>
            </w:r>
            <w:r w:rsidRPr="00DF1104">
              <w:rPr>
                <w:rFonts w:eastAsia="仿宋_GB2312"/>
                <w:sz w:val="28"/>
                <w:szCs w:val="28"/>
              </w:rPr>
              <w:t xml:space="preserve"> </w:t>
            </w:r>
            <w:r w:rsidRPr="00DF1104">
              <w:rPr>
                <w:rFonts w:eastAsia="仿宋_GB2312"/>
                <w:sz w:val="28"/>
                <w:szCs w:val="28"/>
              </w:rPr>
              <w:t>第</w:t>
            </w:r>
            <w:r w:rsidRPr="00DF1104">
              <w:rPr>
                <w:rFonts w:eastAsia="仿宋_GB2312"/>
                <w:sz w:val="28"/>
                <w:szCs w:val="28"/>
              </w:rPr>
              <w:t>6</w:t>
            </w:r>
            <w:r w:rsidRPr="00DF1104">
              <w:rPr>
                <w:rFonts w:eastAsia="仿宋_GB2312"/>
                <w:sz w:val="28"/>
                <w:szCs w:val="28"/>
              </w:rPr>
              <w:t>部分：实验室用材料加热设备的特殊要求》</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YY 0648</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《测量、控制和实验室用电气设备的安全要求</w:t>
            </w:r>
            <w:r w:rsidRPr="00DF1104">
              <w:rPr>
                <w:rFonts w:eastAsia="仿宋_GB2312"/>
                <w:sz w:val="28"/>
                <w:szCs w:val="28"/>
              </w:rPr>
              <w:t xml:space="preserve"> </w:t>
            </w:r>
            <w:r w:rsidRPr="00DF1104">
              <w:rPr>
                <w:rFonts w:eastAsia="仿宋_GB2312"/>
                <w:sz w:val="28"/>
                <w:szCs w:val="28"/>
              </w:rPr>
              <w:t>第</w:t>
            </w:r>
            <w:r w:rsidRPr="00DF1104">
              <w:rPr>
                <w:rFonts w:eastAsia="仿宋_GB2312"/>
                <w:sz w:val="28"/>
                <w:szCs w:val="28"/>
              </w:rPr>
              <w:t>2-101</w:t>
            </w:r>
            <w:r w:rsidRPr="00DF1104">
              <w:rPr>
                <w:rFonts w:eastAsia="仿宋_GB2312"/>
                <w:sz w:val="28"/>
                <w:szCs w:val="28"/>
              </w:rPr>
              <w:t>部分：体外诊断（</w:t>
            </w:r>
            <w:r w:rsidRPr="00DF1104">
              <w:rPr>
                <w:rFonts w:eastAsia="仿宋_GB2312"/>
                <w:sz w:val="28"/>
                <w:szCs w:val="28"/>
              </w:rPr>
              <w:t>IVD</w:t>
            </w:r>
            <w:r w:rsidRPr="00DF1104">
              <w:rPr>
                <w:rFonts w:eastAsia="仿宋_GB2312"/>
                <w:sz w:val="28"/>
                <w:szCs w:val="28"/>
              </w:rPr>
              <w:t>）医用设备的专用要求》</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GB/T 18268.1</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《测量、控制和实验室用的电设备</w:t>
            </w:r>
            <w:r w:rsidRPr="00DF1104">
              <w:rPr>
                <w:rFonts w:eastAsia="仿宋_GB2312"/>
                <w:sz w:val="28"/>
                <w:szCs w:val="28"/>
              </w:rPr>
              <w:t xml:space="preserve"> </w:t>
            </w:r>
            <w:r w:rsidRPr="00DF1104">
              <w:rPr>
                <w:rFonts w:eastAsia="仿宋_GB2312"/>
                <w:sz w:val="28"/>
                <w:szCs w:val="28"/>
              </w:rPr>
              <w:t>电磁兼容性要求</w:t>
            </w:r>
            <w:r w:rsidRPr="00DF1104">
              <w:rPr>
                <w:rFonts w:eastAsia="仿宋_GB2312"/>
                <w:sz w:val="28"/>
                <w:szCs w:val="28"/>
              </w:rPr>
              <w:t xml:space="preserve"> </w:t>
            </w:r>
            <w:r w:rsidRPr="00DF1104">
              <w:rPr>
                <w:rFonts w:eastAsia="仿宋_GB2312"/>
                <w:sz w:val="28"/>
                <w:szCs w:val="28"/>
              </w:rPr>
              <w:t>第</w:t>
            </w:r>
            <w:r w:rsidRPr="00DF1104">
              <w:rPr>
                <w:rFonts w:eastAsia="仿宋_GB2312"/>
                <w:sz w:val="28"/>
                <w:szCs w:val="28"/>
              </w:rPr>
              <w:t>1</w:t>
            </w:r>
            <w:r w:rsidRPr="00DF1104">
              <w:rPr>
                <w:rFonts w:eastAsia="仿宋_GB2312"/>
                <w:sz w:val="28"/>
                <w:szCs w:val="28"/>
              </w:rPr>
              <w:t>部分</w:t>
            </w:r>
            <w:r w:rsidRPr="00DF1104">
              <w:rPr>
                <w:rFonts w:eastAsia="仿宋_GB2312"/>
                <w:sz w:val="28"/>
                <w:szCs w:val="28"/>
              </w:rPr>
              <w:t>:</w:t>
            </w:r>
            <w:r w:rsidRPr="00DF1104">
              <w:rPr>
                <w:rFonts w:eastAsia="仿宋_GB2312"/>
                <w:sz w:val="28"/>
                <w:szCs w:val="28"/>
              </w:rPr>
              <w:t>通用要求》</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GB/T 18268.26</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《测量、控制和实验室用的电设备</w:t>
            </w:r>
            <w:r w:rsidRPr="00DF1104">
              <w:rPr>
                <w:rFonts w:eastAsia="仿宋_GB2312"/>
                <w:sz w:val="28"/>
                <w:szCs w:val="28"/>
              </w:rPr>
              <w:t xml:space="preserve"> </w:t>
            </w:r>
            <w:r w:rsidRPr="00DF1104">
              <w:rPr>
                <w:rFonts w:eastAsia="仿宋_GB2312"/>
                <w:sz w:val="28"/>
                <w:szCs w:val="28"/>
              </w:rPr>
              <w:t>电磁兼容性要求</w:t>
            </w:r>
            <w:r w:rsidRPr="00DF1104">
              <w:rPr>
                <w:rFonts w:eastAsia="仿宋_GB2312"/>
                <w:sz w:val="28"/>
                <w:szCs w:val="28"/>
              </w:rPr>
              <w:t xml:space="preserve"> </w:t>
            </w:r>
            <w:r w:rsidRPr="00DF1104">
              <w:rPr>
                <w:rFonts w:eastAsia="仿宋_GB2312"/>
                <w:sz w:val="28"/>
                <w:szCs w:val="28"/>
              </w:rPr>
              <w:t>第</w:t>
            </w:r>
            <w:r w:rsidRPr="00DF1104">
              <w:rPr>
                <w:rFonts w:eastAsia="仿宋_GB2312"/>
                <w:sz w:val="28"/>
                <w:szCs w:val="28"/>
              </w:rPr>
              <w:t>26</w:t>
            </w:r>
            <w:r w:rsidRPr="00DF1104">
              <w:rPr>
                <w:rFonts w:eastAsia="仿宋_GB2312"/>
                <w:sz w:val="28"/>
                <w:szCs w:val="28"/>
              </w:rPr>
              <w:t>部分</w:t>
            </w:r>
            <w:r w:rsidRPr="00DF1104">
              <w:rPr>
                <w:rFonts w:eastAsia="仿宋_GB2312"/>
                <w:sz w:val="28"/>
                <w:szCs w:val="28"/>
              </w:rPr>
              <w:t>:</w:t>
            </w:r>
            <w:r w:rsidRPr="00DF1104">
              <w:rPr>
                <w:rFonts w:eastAsia="仿宋_GB2312"/>
                <w:sz w:val="28"/>
                <w:szCs w:val="28"/>
              </w:rPr>
              <w:t>特殊要求</w:t>
            </w:r>
            <w:r w:rsidRPr="00DF1104">
              <w:rPr>
                <w:rFonts w:eastAsia="仿宋_GB2312"/>
                <w:sz w:val="28"/>
                <w:szCs w:val="28"/>
              </w:rPr>
              <w:t xml:space="preserve"> </w:t>
            </w:r>
            <w:r w:rsidRPr="00DF1104">
              <w:rPr>
                <w:rFonts w:eastAsia="仿宋_GB2312"/>
                <w:sz w:val="28"/>
                <w:szCs w:val="28"/>
              </w:rPr>
              <w:t>体外诊断</w:t>
            </w:r>
            <w:r w:rsidRPr="00DF1104">
              <w:rPr>
                <w:rFonts w:eastAsia="仿宋_GB2312"/>
                <w:sz w:val="28"/>
                <w:szCs w:val="28"/>
              </w:rPr>
              <w:t>(IVD)</w:t>
            </w:r>
            <w:r w:rsidRPr="00DF1104">
              <w:rPr>
                <w:rFonts w:eastAsia="仿宋_GB2312"/>
                <w:sz w:val="28"/>
                <w:szCs w:val="28"/>
              </w:rPr>
              <w:t>医疗设备》</w:t>
            </w:r>
          </w:p>
        </w:tc>
      </w:tr>
      <w:tr w:rsidR="004B123A" w:rsidRPr="00DF1104" w:rsidTr="00AE411F">
        <w:trPr>
          <w:jc w:val="center"/>
        </w:trPr>
        <w:tc>
          <w:tcPr>
            <w:tcW w:w="1980" w:type="dxa"/>
            <w:vAlign w:val="center"/>
          </w:tcPr>
          <w:p w:rsidR="004B123A" w:rsidRPr="00DF1104" w:rsidRDefault="004B123A" w:rsidP="00AE411F">
            <w:pPr>
              <w:spacing w:line="480" w:lineRule="exact"/>
              <w:jc w:val="center"/>
              <w:rPr>
                <w:rFonts w:eastAsia="仿宋_GB2312"/>
                <w:sz w:val="28"/>
                <w:szCs w:val="28"/>
              </w:rPr>
            </w:pPr>
            <w:r w:rsidRPr="00DF1104">
              <w:rPr>
                <w:rFonts w:eastAsia="仿宋_GB2312"/>
                <w:sz w:val="28"/>
                <w:szCs w:val="28"/>
              </w:rPr>
              <w:t>YY/T 1155</w:t>
            </w:r>
          </w:p>
        </w:tc>
        <w:tc>
          <w:tcPr>
            <w:tcW w:w="6542" w:type="dxa"/>
          </w:tcPr>
          <w:p w:rsidR="004B123A" w:rsidRPr="00DF1104" w:rsidRDefault="004B123A" w:rsidP="00AE411F">
            <w:pPr>
              <w:spacing w:line="480" w:lineRule="exact"/>
              <w:ind w:leftChars="16" w:left="34"/>
              <w:rPr>
                <w:rFonts w:eastAsia="仿宋_GB2312"/>
                <w:sz w:val="28"/>
                <w:szCs w:val="28"/>
              </w:rPr>
            </w:pPr>
            <w:r w:rsidRPr="00DF1104">
              <w:rPr>
                <w:rFonts w:eastAsia="仿宋_GB2312"/>
                <w:sz w:val="28"/>
                <w:szCs w:val="28"/>
              </w:rPr>
              <w:t>《全自动发光免疫分析仪》</w:t>
            </w:r>
          </w:p>
        </w:tc>
      </w:tr>
    </w:tbl>
    <w:p w:rsidR="004B123A" w:rsidRPr="00DF1104" w:rsidRDefault="004B123A" w:rsidP="004B123A">
      <w:pPr>
        <w:spacing w:line="520" w:lineRule="exact"/>
        <w:ind w:firstLineChars="200" w:firstLine="560"/>
        <w:rPr>
          <w:rFonts w:eastAsia="仿宋_GB2312"/>
          <w:kern w:val="0"/>
          <w:sz w:val="28"/>
          <w:szCs w:val="28"/>
        </w:rPr>
      </w:pPr>
      <w:r w:rsidRPr="00DF1104">
        <w:rPr>
          <w:rFonts w:eastAsia="仿宋_GB2312"/>
          <w:kern w:val="0"/>
          <w:sz w:val="28"/>
          <w:szCs w:val="28"/>
        </w:rPr>
        <w:t>注：</w:t>
      </w:r>
      <w:r w:rsidRPr="00DF1104">
        <w:rPr>
          <w:rFonts w:eastAsia="仿宋_GB2312"/>
          <w:kern w:val="0"/>
          <w:sz w:val="28"/>
          <w:szCs w:val="28"/>
        </w:rPr>
        <w:t>1.</w:t>
      </w:r>
      <w:r w:rsidRPr="00DF1104">
        <w:rPr>
          <w:rFonts w:eastAsia="仿宋_GB2312"/>
          <w:kern w:val="0"/>
          <w:sz w:val="28"/>
          <w:szCs w:val="28"/>
        </w:rPr>
        <w:t>上述标准未标注年代号，申请人应参照最新版本。</w:t>
      </w:r>
    </w:p>
    <w:p w:rsidR="004B123A" w:rsidRPr="00DF1104" w:rsidRDefault="004B123A" w:rsidP="004B123A">
      <w:pPr>
        <w:spacing w:line="520" w:lineRule="exact"/>
        <w:ind w:firstLineChars="200" w:firstLine="560"/>
        <w:rPr>
          <w:rFonts w:eastAsia="仿宋_GB2312"/>
          <w:kern w:val="0"/>
          <w:sz w:val="28"/>
          <w:szCs w:val="28"/>
        </w:rPr>
      </w:pPr>
      <w:r w:rsidRPr="00DF1104">
        <w:rPr>
          <w:rFonts w:eastAsia="仿宋_GB2312"/>
          <w:kern w:val="0"/>
          <w:sz w:val="28"/>
          <w:szCs w:val="28"/>
        </w:rPr>
        <w:t xml:space="preserve">    2.</w:t>
      </w:r>
      <w:r w:rsidRPr="00DF1104">
        <w:rPr>
          <w:rFonts w:eastAsia="仿宋_GB2312"/>
          <w:kern w:val="0"/>
          <w:sz w:val="28"/>
          <w:szCs w:val="28"/>
        </w:rPr>
        <w:t>如有其他新的适用国家标准和行业标准，应参照执行。</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color w:val="000000"/>
          <w:sz w:val="32"/>
          <w:szCs w:val="32"/>
        </w:rPr>
        <w:lastRenderedPageBreak/>
        <w:t>全自动化学发光免疫分析仪建议符合</w:t>
      </w:r>
      <w:r w:rsidRPr="00DF1104">
        <w:rPr>
          <w:rFonts w:eastAsia="仿宋_GB2312"/>
          <w:kern w:val="0"/>
          <w:sz w:val="32"/>
          <w:szCs w:val="32"/>
        </w:rPr>
        <w:t>YY/T 1155</w:t>
      </w:r>
      <w:r w:rsidRPr="00DF1104">
        <w:rPr>
          <w:rFonts w:eastAsia="仿宋_GB2312"/>
          <w:color w:val="000000"/>
          <w:sz w:val="32"/>
          <w:szCs w:val="32"/>
        </w:rPr>
        <w:t>要求。若申报产品结构特征、适用范围、使用方式等与上述标准的适用范围不一致，申请人应当提出不适用的说明，并提供经验证的证明性资料。</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2.2</w:t>
      </w:r>
      <w:r w:rsidRPr="00DF1104">
        <w:rPr>
          <w:rFonts w:eastAsia="仿宋_GB2312"/>
          <w:sz w:val="32"/>
          <w:szCs w:val="32"/>
        </w:rPr>
        <w:t>产品技术要求</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申请人应当按照《医疗器械产品技术要求编写指导原则》的规定编制，内容应包括产品名称、产品型号</w:t>
      </w:r>
      <w:r w:rsidRPr="00DF1104">
        <w:rPr>
          <w:rFonts w:eastAsia="仿宋_GB2312"/>
          <w:kern w:val="0"/>
          <w:sz w:val="32"/>
          <w:szCs w:val="32"/>
        </w:rPr>
        <w:t>/</w:t>
      </w:r>
      <w:r w:rsidRPr="00DF1104">
        <w:rPr>
          <w:rFonts w:eastAsia="仿宋_GB2312"/>
          <w:kern w:val="0"/>
          <w:sz w:val="32"/>
          <w:szCs w:val="32"/>
        </w:rPr>
        <w:t>规格及其划分说明、性能指标、检验方法和产品技术要求编号。其中，产品名称、产品型号</w:t>
      </w:r>
      <w:r w:rsidRPr="00DF1104">
        <w:rPr>
          <w:rFonts w:eastAsia="仿宋_GB2312"/>
          <w:kern w:val="0"/>
          <w:sz w:val="32"/>
          <w:szCs w:val="32"/>
        </w:rPr>
        <w:t>/</w:t>
      </w:r>
      <w:r w:rsidRPr="00DF1104">
        <w:rPr>
          <w:rFonts w:eastAsia="仿宋_GB2312"/>
          <w:kern w:val="0"/>
          <w:sz w:val="32"/>
          <w:szCs w:val="32"/>
        </w:rPr>
        <w:t>规格及其划分说明的内容应与综述资料的相应内容保持一致，性能指标、检验方法的内容可参考</w:t>
      </w:r>
      <w:r w:rsidRPr="00DF1104">
        <w:rPr>
          <w:rFonts w:eastAsia="仿宋_GB2312"/>
          <w:kern w:val="0"/>
          <w:sz w:val="32"/>
          <w:szCs w:val="32"/>
        </w:rPr>
        <w:t>YY/T 1155</w:t>
      </w:r>
      <w:r w:rsidRPr="00DF1104">
        <w:rPr>
          <w:rFonts w:eastAsia="仿宋_GB2312"/>
          <w:kern w:val="0"/>
          <w:sz w:val="32"/>
          <w:szCs w:val="32"/>
        </w:rPr>
        <w:t>设置，性能指标、检验方法的内容包括仪器性能、软件功能、安全要求、电磁兼容要求、网络安全等。</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申报产品需要说明软件组件名称、软件发布版本、软件版本命名规则，明确软件版本的全部字段及每个字段的含义。还应在</w:t>
      </w:r>
      <w:r w:rsidRPr="00DF1104">
        <w:rPr>
          <w:rFonts w:eastAsia="仿宋_GB2312"/>
          <w:kern w:val="0"/>
          <w:sz w:val="32"/>
          <w:szCs w:val="32"/>
        </w:rPr>
        <w:t>“</w:t>
      </w:r>
      <w:r w:rsidRPr="00DF1104">
        <w:rPr>
          <w:rFonts w:eastAsia="仿宋_GB2312"/>
          <w:kern w:val="0"/>
          <w:sz w:val="32"/>
          <w:szCs w:val="32"/>
        </w:rPr>
        <w:t>性能指标</w:t>
      </w:r>
      <w:r w:rsidRPr="00DF1104">
        <w:rPr>
          <w:rFonts w:eastAsia="仿宋_GB2312"/>
          <w:kern w:val="0"/>
          <w:sz w:val="32"/>
          <w:szCs w:val="32"/>
        </w:rPr>
        <w:t>”</w:t>
      </w:r>
      <w:r w:rsidRPr="00DF1104">
        <w:rPr>
          <w:rFonts w:eastAsia="仿宋_GB2312"/>
          <w:kern w:val="0"/>
          <w:sz w:val="32"/>
          <w:szCs w:val="32"/>
        </w:rPr>
        <w:t>和</w:t>
      </w:r>
      <w:r w:rsidRPr="00DF1104">
        <w:rPr>
          <w:rFonts w:eastAsia="仿宋_GB2312"/>
          <w:kern w:val="0"/>
          <w:sz w:val="32"/>
          <w:szCs w:val="32"/>
        </w:rPr>
        <w:t>“</w:t>
      </w:r>
      <w:r w:rsidRPr="00DF1104">
        <w:rPr>
          <w:rFonts w:eastAsia="仿宋_GB2312"/>
          <w:kern w:val="0"/>
          <w:sz w:val="32"/>
          <w:szCs w:val="32"/>
        </w:rPr>
        <w:t>检验方法</w:t>
      </w:r>
      <w:r w:rsidRPr="00DF1104">
        <w:rPr>
          <w:rFonts w:eastAsia="仿宋_GB2312"/>
          <w:kern w:val="0"/>
          <w:sz w:val="32"/>
          <w:szCs w:val="32"/>
        </w:rPr>
        <w:t>”</w:t>
      </w:r>
      <w:r w:rsidRPr="00DF1104">
        <w:rPr>
          <w:rFonts w:eastAsia="仿宋_GB2312"/>
          <w:kern w:val="0"/>
          <w:sz w:val="32"/>
          <w:szCs w:val="32"/>
        </w:rPr>
        <w:t>中明确写明软件组件的全部核心功能（含安全功能）纲要和检验方法。</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kern w:val="0"/>
          <w:sz w:val="32"/>
          <w:szCs w:val="32"/>
        </w:rPr>
        <w:t>2.3</w:t>
      </w:r>
      <w:r w:rsidRPr="00DF1104">
        <w:rPr>
          <w:rFonts w:eastAsia="仿宋_GB2312"/>
          <w:sz w:val="32"/>
          <w:szCs w:val="32"/>
        </w:rPr>
        <w:t>产品检验报告</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w:t>
      </w:r>
      <w:r w:rsidRPr="00DF1104">
        <w:rPr>
          <w:rFonts w:eastAsia="仿宋_GB2312"/>
          <w:kern w:val="0"/>
          <w:sz w:val="32"/>
          <w:szCs w:val="32"/>
        </w:rPr>
        <w:t>）性能指标、安全指标和结构组成一致，预期用途不同的产品，应选取预期用途最多的型号规格作为代表产品。</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）预期用途一致，主要设计结构存在差异，但差异未对安全性、有效性造成显著影响的产品，应选取性能指标标称值最高的型号规格作为有效性验证的代表产品。同时，在电气安全性</w:t>
      </w:r>
      <w:r w:rsidRPr="00DF1104">
        <w:rPr>
          <w:rFonts w:eastAsia="仿宋_GB2312"/>
          <w:kern w:val="0"/>
          <w:sz w:val="32"/>
          <w:szCs w:val="32"/>
        </w:rPr>
        <w:lastRenderedPageBreak/>
        <w:t>能无法互相覆盖时，应对注册单元内每一型号规格产品均进行电气安全指标的注册检测。</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）同一注册单元产品如包含多个软件组件或多个版本的软件组件，则每个软件组件或每个版本软件组件构成的产品均应作为一个检测单元，除非检测单元可以完整覆盖注册单元全部情况。</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4</w:t>
      </w:r>
      <w:r w:rsidRPr="00DF1104">
        <w:rPr>
          <w:rFonts w:eastAsia="仿宋_GB2312"/>
          <w:kern w:val="0"/>
          <w:sz w:val="32"/>
          <w:szCs w:val="32"/>
        </w:rPr>
        <w:t>）当没有充足证据能够证明同一注册单元内不同型号规格产品之间电磁兼容性能可以覆盖时，应选取每一型号规格产品进行电磁兼容项目检测。</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对于代表产品的选择，申请人应当提供相关资料予以证明。对于不同型号规格产品之间电磁兼容性能可以覆盖的情形，需由出具检验报告的医疗器械检验机构提供相关说明。</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产品性能研究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3.1</w:t>
      </w:r>
      <w:r w:rsidRPr="00DF1104">
        <w:rPr>
          <w:rFonts w:eastAsia="仿宋_GB2312"/>
          <w:kern w:val="0"/>
          <w:sz w:val="32"/>
          <w:szCs w:val="32"/>
        </w:rPr>
        <w:t>产品性能研究资料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w:t>
      </w:r>
      <w:r w:rsidRPr="00DF1104">
        <w:rPr>
          <w:rFonts w:eastAsia="仿宋_GB2312"/>
          <w:kern w:val="0"/>
          <w:sz w:val="32"/>
          <w:szCs w:val="32"/>
        </w:rPr>
        <w:t>）化学和物理性能研究：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1 \* GB3 </w:instrText>
      </w:r>
      <w:r w:rsidRPr="00DF1104">
        <w:rPr>
          <w:rFonts w:eastAsia="仿宋_GB2312"/>
          <w:kern w:val="0"/>
          <w:sz w:val="32"/>
          <w:szCs w:val="32"/>
        </w:rPr>
        <w:fldChar w:fldCharType="separate"/>
      </w:r>
      <w:r w:rsidRPr="00DF1104">
        <w:rPr>
          <w:rFonts w:ascii="宋体" w:hAnsi="宋体" w:cs="宋体" w:hint="eastAsia"/>
          <w:kern w:val="0"/>
          <w:sz w:val="32"/>
          <w:szCs w:val="32"/>
        </w:rPr>
        <w:t>①</w:t>
      </w:r>
      <w:r w:rsidRPr="00DF1104">
        <w:rPr>
          <w:rFonts w:eastAsia="仿宋_GB2312"/>
          <w:kern w:val="0"/>
          <w:sz w:val="32"/>
          <w:szCs w:val="32"/>
        </w:rPr>
        <w:fldChar w:fldCharType="end"/>
      </w:r>
      <w:r w:rsidRPr="00DF1104">
        <w:rPr>
          <w:rFonts w:eastAsia="仿宋_GB2312"/>
          <w:kern w:val="0"/>
          <w:sz w:val="32"/>
          <w:szCs w:val="32"/>
        </w:rPr>
        <w:t>申报产品各组成模块性能的研究资料：应根据综述资料中有关申报产品结构组成和各主要组成模块的情况进行，提供详细的研究资料，如对材料配备模块、液路模块、温度控制模块、机械传动模块、光路检测模块、电路控制模块的功能性指标或者模块中关键元器件功能性指标及质量控制指标的研究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研究资料中应详细写明通过研究验证确定的分析仪性能及关键元器件信息（如元器件的名称、生产企业、型号、主要性能参数等）。</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2 \* GB3 </w:instrText>
      </w:r>
      <w:r w:rsidRPr="00DF1104">
        <w:rPr>
          <w:rFonts w:eastAsia="仿宋_GB2312"/>
          <w:kern w:val="0"/>
          <w:sz w:val="32"/>
          <w:szCs w:val="32"/>
        </w:rPr>
        <w:fldChar w:fldCharType="separate"/>
      </w:r>
      <w:r w:rsidRPr="00DF1104">
        <w:rPr>
          <w:rFonts w:ascii="宋体" w:hAnsi="宋体" w:cs="宋体" w:hint="eastAsia"/>
          <w:kern w:val="0"/>
          <w:sz w:val="32"/>
          <w:szCs w:val="32"/>
        </w:rPr>
        <w:t>②</w:t>
      </w:r>
      <w:r w:rsidRPr="00DF1104">
        <w:rPr>
          <w:rFonts w:eastAsia="仿宋_GB2312"/>
          <w:kern w:val="0"/>
          <w:sz w:val="32"/>
          <w:szCs w:val="32"/>
        </w:rPr>
        <w:fldChar w:fldCharType="end"/>
      </w:r>
      <w:r w:rsidRPr="00DF1104">
        <w:rPr>
          <w:rFonts w:eastAsia="仿宋_GB2312"/>
          <w:kern w:val="0"/>
          <w:sz w:val="32"/>
          <w:szCs w:val="32"/>
        </w:rPr>
        <w:t>申报产品临床项目分析性能的研究资料：建议申请人根据配套检测试剂分析性能评估的基础研究结果，综合考虑申报产品的反应模式及可检测的被分析物情况，按照对申报产品评价最不</w:t>
      </w:r>
      <w:r w:rsidRPr="00DF1104">
        <w:rPr>
          <w:rFonts w:eastAsia="仿宋_GB2312"/>
          <w:kern w:val="0"/>
          <w:sz w:val="32"/>
          <w:szCs w:val="32"/>
        </w:rPr>
        <w:lastRenderedPageBreak/>
        <w:t>利原则，对每一个适用范围中的被分析物类别，采用临床样本进行研究，并提供详细的分析性能研究资料，包括准确度</w:t>
      </w:r>
      <w:r w:rsidRPr="00DF1104">
        <w:rPr>
          <w:rFonts w:eastAsia="仿宋_GB2312"/>
          <w:kern w:val="0"/>
          <w:sz w:val="32"/>
          <w:szCs w:val="32"/>
        </w:rPr>
        <w:t>/</w:t>
      </w:r>
      <w:r w:rsidRPr="00DF1104">
        <w:rPr>
          <w:rFonts w:eastAsia="仿宋_GB2312"/>
          <w:kern w:val="0"/>
          <w:sz w:val="32"/>
          <w:szCs w:val="32"/>
        </w:rPr>
        <w:t>阴阳性符合率、精密度、检测限、线性（如适用）等。所选项目应涵盖申报产品的反应模式、可检测的样本类型及被分析物大类。并在研究资料中详述选择的依据，以支持所选项目的代表性及研究方案的科学性。</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对于某些分析性能项目，如难以直接获得相应浓度水平的临床样本，此种情形下，申请人可采用临床样本进行人工添加的方法制备特殊浓度水平样本，但应当在研究资料中对此情况进行详细说明。</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对于增加由已批准产品进行改进形成的新型号产品，注册人应当考虑新型号产品是否与已批准产品属于同一注册单元，如属于，注册人应当分析改进部分对产品安全性、有效性的影响，针对改进部分进行相应的组成模块或关键部件的性能研究和临床项目分析性能的研究，并提供详细的研究资料；如不属于，应当按照新产品进行产品注册申请。</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）安全性研究：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安全性指标的研究包括电气安全指标和电磁兼容指标两大类。电气安全指标应当包括</w:t>
      </w:r>
      <w:r w:rsidRPr="00DF1104">
        <w:rPr>
          <w:rFonts w:eastAsia="仿宋_GB2312"/>
          <w:kern w:val="0"/>
          <w:sz w:val="32"/>
          <w:szCs w:val="32"/>
        </w:rPr>
        <w:t>GB 4793.1</w:t>
      </w:r>
      <w:r w:rsidRPr="00DF1104">
        <w:rPr>
          <w:rFonts w:eastAsia="仿宋_GB2312"/>
          <w:kern w:val="0"/>
          <w:sz w:val="32"/>
          <w:szCs w:val="32"/>
        </w:rPr>
        <w:t>、</w:t>
      </w:r>
      <w:r w:rsidRPr="00DF1104">
        <w:rPr>
          <w:rFonts w:eastAsia="仿宋_GB2312"/>
          <w:kern w:val="0"/>
          <w:sz w:val="32"/>
          <w:szCs w:val="32"/>
        </w:rPr>
        <w:t>GB 4793.6</w:t>
      </w:r>
      <w:r w:rsidRPr="00DF1104">
        <w:rPr>
          <w:rFonts w:eastAsia="仿宋_GB2312"/>
          <w:kern w:val="0"/>
          <w:sz w:val="32"/>
          <w:szCs w:val="32"/>
        </w:rPr>
        <w:t>、</w:t>
      </w:r>
      <w:r w:rsidRPr="00DF1104">
        <w:rPr>
          <w:rFonts w:eastAsia="仿宋_GB2312"/>
          <w:kern w:val="0"/>
          <w:sz w:val="32"/>
          <w:szCs w:val="32"/>
        </w:rPr>
        <w:t>YY 0648</w:t>
      </w:r>
      <w:r w:rsidRPr="00DF1104">
        <w:rPr>
          <w:rFonts w:eastAsia="仿宋_GB2312"/>
          <w:kern w:val="0"/>
          <w:sz w:val="32"/>
          <w:szCs w:val="32"/>
        </w:rPr>
        <w:t>及其他适用的国家标准和行业标准中的所有指标，电磁兼容指标应当包括</w:t>
      </w:r>
      <w:r w:rsidRPr="00DF1104">
        <w:rPr>
          <w:rFonts w:eastAsia="仿宋_GB2312"/>
          <w:kern w:val="0"/>
          <w:sz w:val="32"/>
          <w:szCs w:val="32"/>
        </w:rPr>
        <w:t>GB/T 18268.1</w:t>
      </w:r>
      <w:r w:rsidRPr="00DF1104">
        <w:rPr>
          <w:rFonts w:eastAsia="仿宋_GB2312"/>
          <w:kern w:val="0"/>
          <w:sz w:val="32"/>
          <w:szCs w:val="32"/>
        </w:rPr>
        <w:t>和</w:t>
      </w:r>
      <w:r w:rsidRPr="00DF1104">
        <w:rPr>
          <w:rFonts w:eastAsia="仿宋_GB2312"/>
          <w:kern w:val="0"/>
          <w:sz w:val="32"/>
          <w:szCs w:val="32"/>
        </w:rPr>
        <w:t>GB/T 18268.26</w:t>
      </w:r>
      <w:r w:rsidRPr="00DF1104">
        <w:rPr>
          <w:rFonts w:eastAsia="仿宋_GB2312"/>
          <w:kern w:val="0"/>
          <w:sz w:val="32"/>
          <w:szCs w:val="32"/>
        </w:rPr>
        <w:t>及其他适用的国家标准和行业标准中的所有指标。具备能力的申请人可对上述项目自行研究，并提交详细的验证资料，不具备能力的申请人可通过委托检验对上述项目进行验证，以委托有资质的医疗器械检验机构出具的检验报告作为该部分的验证资料。</w:t>
      </w:r>
    </w:p>
    <w:p w:rsidR="004B123A" w:rsidRPr="00DF1104" w:rsidRDefault="004B123A" w:rsidP="004B123A">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）环境条件对产品性能指标无显著影响的研究资料</w:t>
      </w:r>
    </w:p>
    <w:p w:rsidR="004B123A" w:rsidRPr="00DF1104" w:rsidRDefault="004B123A" w:rsidP="004B123A">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lastRenderedPageBreak/>
        <w:t>主要包括气候环境条件、机械环境条件、运输条件等，可参考</w:t>
      </w:r>
      <w:r w:rsidRPr="00DF1104">
        <w:rPr>
          <w:rFonts w:eastAsia="仿宋_GB2312"/>
          <w:kern w:val="0"/>
          <w:sz w:val="32"/>
          <w:szCs w:val="32"/>
        </w:rPr>
        <w:t>GB/T 14710</w:t>
      </w:r>
      <w:r w:rsidRPr="00DF1104">
        <w:rPr>
          <w:rFonts w:eastAsia="仿宋_GB2312"/>
          <w:kern w:val="0"/>
          <w:sz w:val="32"/>
          <w:szCs w:val="32"/>
        </w:rPr>
        <w:t>及其他适用的国际</w:t>
      </w:r>
      <w:r w:rsidRPr="00DF1104">
        <w:rPr>
          <w:rFonts w:eastAsia="仿宋_GB2312"/>
          <w:kern w:val="0"/>
          <w:sz w:val="32"/>
          <w:szCs w:val="32"/>
        </w:rPr>
        <w:t>/</w:t>
      </w:r>
      <w:r w:rsidRPr="00DF1104">
        <w:rPr>
          <w:rFonts w:eastAsia="仿宋_GB2312"/>
          <w:kern w:val="0"/>
          <w:sz w:val="32"/>
          <w:szCs w:val="32"/>
        </w:rPr>
        <w:t>国家标准和行业标准中的相关指标，应提交对上述项目的研究和验证资料</w:t>
      </w:r>
      <w:r w:rsidRPr="00DF1104">
        <w:rPr>
          <w:rFonts w:eastAsia="仿宋_GB2312"/>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3.2</w:t>
      </w:r>
      <w:r w:rsidRPr="00DF1104">
        <w:rPr>
          <w:rFonts w:eastAsia="仿宋_GB2312"/>
          <w:color w:val="000000"/>
          <w:sz w:val="32"/>
          <w:szCs w:val="32"/>
        </w:rPr>
        <w:t>有效期和包装研究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应当提供产品有效期的验证报告，报告中应对申报产品中包含的易耗、易损、需定期更换或者具有固定使用寿命的关键部件的情况进行详细描述，详述确定产品使用期限或者失效期的具体理由，给出产品使用期限或者产品失效期。有关产品有效期研究资料的详细内容，建议按照《有源医疗器械使用期限注册申报资料指导原则》的要求进行编写。</w:t>
      </w:r>
    </w:p>
    <w:p w:rsidR="004B123A" w:rsidRPr="00DF1104" w:rsidRDefault="004B123A" w:rsidP="004B123A">
      <w:pPr>
        <w:spacing w:line="520" w:lineRule="exact"/>
        <w:ind w:firstLine="640"/>
        <w:rPr>
          <w:rFonts w:eastAsia="仿宋_GB2312"/>
          <w:kern w:val="0"/>
          <w:sz w:val="32"/>
          <w:szCs w:val="32"/>
        </w:rPr>
      </w:pPr>
      <w:r w:rsidRPr="00DF1104">
        <w:rPr>
          <w:rFonts w:eastAsia="仿宋_GB2312"/>
          <w:kern w:val="0"/>
          <w:sz w:val="32"/>
          <w:szCs w:val="32"/>
        </w:rPr>
        <w:t>包装研究提交在宣称的有效期内以及运输储存条件下，不会对医疗器械的性能产生不利影响</w:t>
      </w:r>
      <w:r w:rsidRPr="00DF1104">
        <w:rPr>
          <w:rFonts w:eastAsia="仿宋"/>
          <w:sz w:val="32"/>
          <w:szCs w:val="32"/>
        </w:rPr>
        <w:t>的研究资料</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3.3</w:t>
      </w:r>
      <w:r w:rsidRPr="00DF1104">
        <w:rPr>
          <w:rFonts w:eastAsia="仿宋_GB2312"/>
          <w:kern w:val="0"/>
          <w:sz w:val="32"/>
          <w:szCs w:val="32"/>
        </w:rPr>
        <w:t>软件研究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w:t>
      </w:r>
      <w:r w:rsidRPr="00DF1104">
        <w:rPr>
          <w:rFonts w:eastAsia="仿宋_GB2312"/>
          <w:kern w:val="0"/>
          <w:sz w:val="32"/>
          <w:szCs w:val="32"/>
        </w:rPr>
        <w:t>）提供软件研究报告，软件研究报告需要覆盖全部软件组件。</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根据</w:t>
      </w:r>
      <w:r w:rsidRPr="00DF1104">
        <w:rPr>
          <w:rFonts w:eastAsia="仿宋_GB2312"/>
          <w:kern w:val="0"/>
          <w:sz w:val="32"/>
          <w:szCs w:val="32"/>
        </w:rPr>
        <w:t>YY/T 0664</w:t>
      </w:r>
      <w:r w:rsidRPr="00DF1104">
        <w:rPr>
          <w:rFonts w:eastAsia="仿宋_GB2312"/>
          <w:kern w:val="0"/>
          <w:sz w:val="32"/>
          <w:szCs w:val="32"/>
        </w:rPr>
        <w:t>的要求及产品预期的临床检测项目可能对患者造成的风险，确定申报产品随机软件的安全性级别，并按照确定的安全性级别提交随机软件研究报告。全自动化学发光免疫分析仪的软件组件一般包含嵌入式软件和数据处理软件等，其软件安全性级别一般不低于中等（</w:t>
      </w:r>
      <w:r w:rsidRPr="00DF1104">
        <w:rPr>
          <w:rFonts w:eastAsia="仿宋_GB2312"/>
          <w:kern w:val="0"/>
          <w:sz w:val="32"/>
          <w:szCs w:val="32"/>
        </w:rPr>
        <w:t>B</w:t>
      </w:r>
      <w:r w:rsidRPr="00DF1104">
        <w:rPr>
          <w:rFonts w:eastAsia="仿宋_GB2312"/>
          <w:kern w:val="0"/>
          <w:sz w:val="32"/>
          <w:szCs w:val="32"/>
        </w:rPr>
        <w:t>）级别。</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明确软件完整版本的全部字段和字段含义，逐项针对字段进行概括说明，并确定软件完整版本和发布版本。</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核心算法部分应详细描述所有免疫反应模式下，将发光值转化为被分析物浓度值的公式或计算工具。并依据产品说明书，列明软件核心功能的相关信息。</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有关软件研究资料的详细内容，建议按照《医疗器械软件注</w:t>
      </w:r>
      <w:r w:rsidRPr="00DF1104">
        <w:rPr>
          <w:rFonts w:eastAsia="仿宋_GB2312"/>
          <w:kern w:val="0"/>
          <w:sz w:val="32"/>
          <w:szCs w:val="32"/>
        </w:rPr>
        <w:lastRenderedPageBreak/>
        <w:t>册申报资料指导原则》的要求进行编写。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）当产品具备电子数据交换、远程访问与控制、用户访问三种功能当中一种及以上时，均应提交网络安全研究报告。</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有关网络安全研究资料的详细内容，建议参照《医疗器械网络安全注册审查指导原则》的要求进行编写。</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bCs/>
          <w:sz w:val="32"/>
          <w:szCs w:val="32"/>
        </w:rPr>
        <w:t>其他资料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全自动免疫分析仪已列入《</w:t>
      </w:r>
      <w:r w:rsidRPr="00DF1104">
        <w:rPr>
          <w:rFonts w:eastAsia="仿宋_GB2312"/>
          <w:color w:val="000000"/>
          <w:sz w:val="32"/>
          <w:szCs w:val="32"/>
        </w:rPr>
        <w:t>免于临床评价医疗器械目录</w:t>
      </w:r>
      <w:r w:rsidRPr="00DF1104">
        <w:rPr>
          <w:rFonts w:eastAsia="仿宋_GB2312"/>
          <w:kern w:val="0"/>
          <w:sz w:val="32"/>
          <w:szCs w:val="32"/>
        </w:rPr>
        <w:t>》（以下简称</w:t>
      </w:r>
      <w:r w:rsidRPr="00DF1104">
        <w:rPr>
          <w:rFonts w:eastAsia="仿宋_GB2312"/>
          <w:kern w:val="0"/>
          <w:sz w:val="32"/>
          <w:szCs w:val="32"/>
        </w:rPr>
        <w:t>“</w:t>
      </w:r>
      <w:r w:rsidRPr="00DF1104">
        <w:rPr>
          <w:rFonts w:eastAsia="仿宋_GB2312"/>
          <w:kern w:val="0"/>
          <w:sz w:val="32"/>
          <w:szCs w:val="32"/>
        </w:rPr>
        <w:t>目录</w:t>
      </w:r>
      <w:r w:rsidRPr="00DF1104">
        <w:rPr>
          <w:rFonts w:eastAsia="仿宋_GB2312"/>
          <w:kern w:val="0"/>
          <w:sz w:val="32"/>
          <w:szCs w:val="32"/>
        </w:rPr>
        <w:t>”</w:t>
      </w:r>
      <w:r w:rsidRPr="00DF1104">
        <w:rPr>
          <w:rFonts w:eastAsia="仿宋_GB2312"/>
          <w:kern w:val="0"/>
          <w:sz w:val="32"/>
          <w:szCs w:val="32"/>
        </w:rPr>
        <w:t>），全自动化学发光免疫分析仪属于全自动免疫分析仪的范畴，一般情况下可免于进行临床评价。应按照《列入免于临床评价医疗器械目录产品对比说明技术指导原则》等的要求提交对比资料，并明确以下内容。</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4.1</w:t>
      </w:r>
      <w:r w:rsidRPr="00DF1104">
        <w:rPr>
          <w:rFonts w:eastAsia="仿宋_GB2312"/>
          <w:kern w:val="0"/>
          <w:sz w:val="32"/>
          <w:szCs w:val="32"/>
        </w:rPr>
        <w:t>申报产品相关信息与《目录》所述内容的对比资料。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《目录》中的产品描述主要包括结构组成、反应原理、样本类型、被分析物等内容，申请人应着重从上述四方面进行对比，建议按照附件</w:t>
      </w:r>
      <w:r w:rsidRPr="00DF1104">
        <w:rPr>
          <w:rFonts w:eastAsia="仿宋_GB2312"/>
          <w:kern w:val="0"/>
          <w:sz w:val="32"/>
          <w:szCs w:val="32"/>
        </w:rPr>
        <w:t>5-1</w:t>
      </w:r>
      <w:r w:rsidRPr="00DF1104">
        <w:rPr>
          <w:rFonts w:eastAsia="仿宋_GB2312"/>
          <w:kern w:val="0"/>
          <w:sz w:val="32"/>
          <w:szCs w:val="32"/>
        </w:rPr>
        <w:t>的形式提交。</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4.2</w:t>
      </w:r>
      <w:r w:rsidRPr="00DF1104">
        <w:rPr>
          <w:rFonts w:eastAsia="仿宋_GB2312"/>
          <w:kern w:val="0"/>
          <w:sz w:val="32"/>
          <w:szCs w:val="32"/>
        </w:rPr>
        <w:t>申报产品与《目录》中已获准境内注册医疗器械的对比说明，对比说明应当包括《申报产品与目录中已获准境内注册医疗器械对比表》和相应支持性资料。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应当从工作原理、结构组成、主要性能要求、适用范围、使用方法等方面进行对比，建议按照附件</w:t>
      </w:r>
      <w:r w:rsidRPr="00DF1104">
        <w:rPr>
          <w:rFonts w:eastAsia="仿宋_GB2312"/>
          <w:kern w:val="0"/>
          <w:sz w:val="32"/>
          <w:szCs w:val="32"/>
        </w:rPr>
        <w:t>5-2</w:t>
      </w:r>
      <w:r w:rsidRPr="00DF1104">
        <w:rPr>
          <w:rFonts w:eastAsia="仿宋_GB2312"/>
          <w:kern w:val="0"/>
          <w:sz w:val="32"/>
          <w:szCs w:val="32"/>
        </w:rPr>
        <w:t>的形式提交。</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t>（四）临床评价资料</w:t>
      </w:r>
    </w:p>
    <w:p w:rsidR="004B123A" w:rsidRPr="00DF1104" w:rsidRDefault="004B123A" w:rsidP="004B123A">
      <w:pPr>
        <w:spacing w:line="520" w:lineRule="exact"/>
        <w:ind w:rightChars="-32" w:right="-67" w:firstLineChars="200" w:firstLine="640"/>
        <w:rPr>
          <w:rFonts w:eastAsia="仿宋_GB2312"/>
          <w:bCs/>
          <w:sz w:val="32"/>
          <w:szCs w:val="32"/>
        </w:rPr>
      </w:pPr>
      <w:r w:rsidRPr="00DF1104">
        <w:rPr>
          <w:rFonts w:eastAsia="仿宋_GB2312"/>
          <w:bCs/>
          <w:sz w:val="32"/>
          <w:szCs w:val="32"/>
        </w:rPr>
        <w:t>该产品列入《免于临床评价医疗器械目录》，申请人无需提交临床评价资料。</w:t>
      </w:r>
    </w:p>
    <w:p w:rsidR="004B123A" w:rsidRPr="00DF1104" w:rsidRDefault="004B123A" w:rsidP="004B123A">
      <w:pPr>
        <w:spacing w:line="520" w:lineRule="exact"/>
        <w:ind w:firstLineChars="200" w:firstLine="640"/>
        <w:rPr>
          <w:rFonts w:eastAsia="仿宋_GB2312"/>
          <w:bCs/>
          <w:sz w:val="32"/>
          <w:szCs w:val="32"/>
        </w:rPr>
      </w:pPr>
      <w:r w:rsidRPr="00DF1104">
        <w:rPr>
          <w:rFonts w:eastAsia="仿宋_GB2312"/>
          <w:kern w:val="0"/>
          <w:sz w:val="32"/>
          <w:szCs w:val="32"/>
        </w:rPr>
        <w:t>对于采用新原理或结构，导致产品与已上市产品不具有等同性和可比性的化学发光产品，应按照</w:t>
      </w:r>
      <w:r w:rsidRPr="00DF1104">
        <w:rPr>
          <w:rFonts w:eastAsia="仿宋_GB2312"/>
          <w:bCs/>
          <w:sz w:val="32"/>
          <w:szCs w:val="32"/>
        </w:rPr>
        <w:t>相关指导原则</w:t>
      </w:r>
      <w:r w:rsidRPr="00DF1104">
        <w:rPr>
          <w:rFonts w:eastAsia="仿宋_GB2312"/>
          <w:kern w:val="0"/>
          <w:sz w:val="32"/>
          <w:szCs w:val="32"/>
        </w:rPr>
        <w:t>进行临床评价资料的提交。</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lastRenderedPageBreak/>
        <w:t>（五）产品说明书和标签样稿</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1.</w:t>
      </w:r>
      <w:r w:rsidRPr="00DF1104">
        <w:rPr>
          <w:rFonts w:eastAsia="仿宋_GB2312"/>
          <w:kern w:val="0"/>
          <w:sz w:val="32"/>
          <w:szCs w:val="32"/>
        </w:rPr>
        <w:t>产品说明书</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产品说明书应当符合《医疗器械说明书和标签管理规定》的要求，至少包括以下内容：</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w:t>
      </w:r>
      <w:r w:rsidRPr="00DF1104">
        <w:rPr>
          <w:rFonts w:eastAsia="仿宋_GB2312"/>
          <w:kern w:val="0"/>
          <w:sz w:val="32"/>
          <w:szCs w:val="32"/>
        </w:rPr>
        <w:t>）产品名称、型号、规格；</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2</w:t>
      </w:r>
      <w:r w:rsidRPr="00DF1104">
        <w:rPr>
          <w:rFonts w:eastAsia="仿宋_GB2312"/>
          <w:kern w:val="0"/>
          <w:sz w:val="32"/>
          <w:szCs w:val="32"/>
        </w:rPr>
        <w:t>）注册人的名称、住所、联系方式及售后服务单位，进口产品还应当载明代理人的名称、住所及联系方式；</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）生产企业的名称、住所、生产地址、联系方式及生产许可证编号，委托生产的还应当标注受托企业的名称、住所、生产地址、生产许可证编号；</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4</w:t>
      </w:r>
      <w:r w:rsidRPr="00DF1104">
        <w:rPr>
          <w:rFonts w:eastAsia="仿宋_GB2312"/>
          <w:kern w:val="0"/>
          <w:sz w:val="32"/>
          <w:szCs w:val="32"/>
        </w:rPr>
        <w:t>）医疗器械注册证编号；</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5</w:t>
      </w:r>
      <w:r w:rsidRPr="00DF1104">
        <w:rPr>
          <w:rFonts w:eastAsia="仿宋_GB2312"/>
          <w:kern w:val="0"/>
          <w:sz w:val="32"/>
          <w:szCs w:val="32"/>
        </w:rPr>
        <w:t>）产品技术要求的编号；</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6</w:t>
      </w:r>
      <w:r w:rsidRPr="00DF1104">
        <w:rPr>
          <w:rFonts w:eastAsia="仿宋_GB2312"/>
          <w:kern w:val="0"/>
          <w:sz w:val="32"/>
          <w:szCs w:val="32"/>
        </w:rPr>
        <w:t>）产品性能、主要结构组成、适用范围：</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1 \* GB3 </w:instrText>
      </w:r>
      <w:r w:rsidRPr="00DF1104">
        <w:rPr>
          <w:rFonts w:eastAsia="仿宋_GB2312"/>
          <w:kern w:val="0"/>
          <w:sz w:val="32"/>
          <w:szCs w:val="32"/>
        </w:rPr>
        <w:fldChar w:fldCharType="separate"/>
      </w:r>
      <w:r w:rsidRPr="00DF1104">
        <w:rPr>
          <w:rFonts w:ascii="宋体" w:hAnsi="宋体" w:cs="宋体" w:hint="eastAsia"/>
          <w:kern w:val="0"/>
          <w:sz w:val="32"/>
          <w:szCs w:val="32"/>
        </w:rPr>
        <w:t>①</w:t>
      </w:r>
      <w:r w:rsidRPr="00DF1104">
        <w:rPr>
          <w:rFonts w:eastAsia="仿宋_GB2312"/>
          <w:kern w:val="0"/>
          <w:sz w:val="32"/>
          <w:szCs w:val="32"/>
        </w:rPr>
        <w:fldChar w:fldCharType="end"/>
      </w:r>
      <w:r w:rsidRPr="00DF1104">
        <w:rPr>
          <w:rFonts w:eastAsia="仿宋_GB2312"/>
          <w:kern w:val="0"/>
          <w:sz w:val="32"/>
          <w:szCs w:val="32"/>
        </w:rPr>
        <w:t>主要结构组成</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建议以实物照片</w:t>
      </w:r>
      <w:r w:rsidRPr="00DF1104">
        <w:rPr>
          <w:rFonts w:eastAsia="仿宋_GB2312"/>
          <w:kern w:val="0"/>
          <w:sz w:val="32"/>
          <w:szCs w:val="32"/>
        </w:rPr>
        <w:t>/</w:t>
      </w:r>
      <w:r w:rsidRPr="00DF1104">
        <w:rPr>
          <w:rFonts w:eastAsia="仿宋_GB2312"/>
          <w:kern w:val="0"/>
          <w:sz w:val="32"/>
          <w:szCs w:val="32"/>
        </w:rPr>
        <w:t>示意图加文字的形式对申报产品的整体结构进行描述，标明各主要模块的名称（应包含软件组件，并注明软件组件的名称和发布版本）。</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建议对软件的主要功能进行描述，重点对用户界面的整体情况和各功能窗口涉及的操作功能进行简单介绍。</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2 \* GB3 </w:instrText>
      </w:r>
      <w:r w:rsidRPr="00DF1104">
        <w:rPr>
          <w:rFonts w:eastAsia="仿宋_GB2312"/>
          <w:kern w:val="0"/>
          <w:sz w:val="32"/>
          <w:szCs w:val="32"/>
        </w:rPr>
        <w:fldChar w:fldCharType="separate"/>
      </w:r>
      <w:r w:rsidRPr="00DF1104">
        <w:rPr>
          <w:rFonts w:ascii="宋体" w:hAnsi="宋体" w:cs="宋体" w:hint="eastAsia"/>
          <w:kern w:val="0"/>
          <w:sz w:val="32"/>
          <w:szCs w:val="32"/>
        </w:rPr>
        <w:t>②</w:t>
      </w:r>
      <w:r w:rsidRPr="00DF1104">
        <w:rPr>
          <w:rFonts w:eastAsia="仿宋_GB2312"/>
          <w:kern w:val="0"/>
          <w:sz w:val="32"/>
          <w:szCs w:val="32"/>
        </w:rPr>
        <w:fldChar w:fldCharType="end"/>
      </w:r>
      <w:r w:rsidRPr="00DF1104">
        <w:rPr>
          <w:rFonts w:eastAsia="仿宋_GB2312"/>
          <w:kern w:val="0"/>
          <w:sz w:val="32"/>
          <w:szCs w:val="32"/>
        </w:rPr>
        <w:t>适用范围</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建议采用以下形式进行描述：</w:t>
      </w:r>
      <w:r w:rsidRPr="00DF1104">
        <w:rPr>
          <w:rFonts w:eastAsia="仿宋_GB2312"/>
          <w:kern w:val="0"/>
          <w:sz w:val="32"/>
          <w:szCs w:val="32"/>
        </w:rPr>
        <w:t>“</w:t>
      </w:r>
      <w:r w:rsidRPr="00DF1104">
        <w:rPr>
          <w:rFonts w:eastAsia="仿宋_GB2312"/>
          <w:kern w:val="0"/>
          <w:sz w:val="32"/>
          <w:szCs w:val="32"/>
        </w:rPr>
        <w:t>该产品采用</w:t>
      </w:r>
      <w:r w:rsidRPr="00DF1104">
        <w:rPr>
          <w:rFonts w:eastAsia="仿宋_GB2312"/>
          <w:kern w:val="0"/>
          <w:sz w:val="32"/>
          <w:szCs w:val="32"/>
        </w:rPr>
        <w:t>××</w:t>
      </w:r>
      <w:r w:rsidRPr="00DF1104">
        <w:rPr>
          <w:rFonts w:eastAsia="仿宋_GB2312"/>
          <w:kern w:val="0"/>
          <w:sz w:val="32"/>
          <w:szCs w:val="32"/>
        </w:rPr>
        <w:t>法，与配套的检测试剂共同使用，在临床上用于对来源于人体的</w:t>
      </w:r>
      <w:r w:rsidRPr="00DF1104">
        <w:rPr>
          <w:rFonts w:eastAsia="仿宋_GB2312"/>
          <w:kern w:val="0"/>
          <w:sz w:val="32"/>
          <w:szCs w:val="32"/>
        </w:rPr>
        <w:t>×××</w:t>
      </w:r>
      <w:r w:rsidRPr="00DF1104">
        <w:rPr>
          <w:rFonts w:eastAsia="仿宋_GB2312"/>
          <w:kern w:val="0"/>
          <w:sz w:val="32"/>
          <w:szCs w:val="32"/>
        </w:rPr>
        <w:t>样本中的被分析物进行定性或定量检测，包括</w:t>
      </w:r>
      <w:r w:rsidRPr="00DF1104">
        <w:rPr>
          <w:rFonts w:eastAsia="仿宋_GB2312"/>
          <w:kern w:val="0"/>
          <w:sz w:val="32"/>
          <w:szCs w:val="32"/>
        </w:rPr>
        <w:t>××××</w:t>
      </w:r>
      <w:r w:rsidRPr="00DF1104">
        <w:rPr>
          <w:rFonts w:eastAsia="仿宋_GB2312"/>
          <w:kern w:val="0"/>
          <w:sz w:val="32"/>
          <w:szCs w:val="32"/>
        </w:rPr>
        <w:t>项目类别</w:t>
      </w:r>
      <w:r w:rsidRPr="00DF1104">
        <w:rPr>
          <w:rFonts w:eastAsia="仿宋_GB2312"/>
          <w:kern w:val="0"/>
          <w:sz w:val="32"/>
          <w:szCs w:val="32"/>
        </w:rPr>
        <w:t>”</w:t>
      </w:r>
      <w:r w:rsidRPr="00DF1104">
        <w:rPr>
          <w:rFonts w:eastAsia="仿宋_GB2312"/>
          <w:kern w:val="0"/>
          <w:sz w:val="32"/>
          <w:szCs w:val="32"/>
        </w:rPr>
        <w:t>。</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3 \* GB3 </w:instrText>
      </w:r>
      <w:r w:rsidRPr="00DF1104">
        <w:rPr>
          <w:rFonts w:eastAsia="仿宋_GB2312"/>
          <w:kern w:val="0"/>
          <w:sz w:val="32"/>
          <w:szCs w:val="32"/>
        </w:rPr>
        <w:fldChar w:fldCharType="separate"/>
      </w:r>
      <w:r w:rsidRPr="00DF1104">
        <w:rPr>
          <w:rFonts w:ascii="宋体" w:hAnsi="宋体" w:cs="宋体" w:hint="eastAsia"/>
          <w:kern w:val="0"/>
          <w:sz w:val="32"/>
          <w:szCs w:val="32"/>
        </w:rPr>
        <w:t>③</w:t>
      </w:r>
      <w:r w:rsidRPr="00DF1104">
        <w:rPr>
          <w:rFonts w:eastAsia="仿宋_GB2312"/>
          <w:kern w:val="0"/>
          <w:sz w:val="32"/>
          <w:szCs w:val="32"/>
        </w:rPr>
        <w:fldChar w:fldCharType="end"/>
      </w:r>
      <w:r w:rsidRPr="00DF1104">
        <w:rPr>
          <w:rFonts w:eastAsia="仿宋_GB2312"/>
          <w:kern w:val="0"/>
          <w:sz w:val="32"/>
          <w:szCs w:val="32"/>
        </w:rPr>
        <w:t>工作原理</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建议对申报产品采用的化学发光反应类型进行详细描述，可配合公式、示意图等进行解释，同时以文字加图示的方式对该类</w:t>
      </w:r>
      <w:r w:rsidRPr="00DF1104">
        <w:rPr>
          <w:rFonts w:eastAsia="仿宋_GB2312"/>
          <w:kern w:val="0"/>
          <w:sz w:val="32"/>
          <w:szCs w:val="32"/>
        </w:rPr>
        <w:lastRenderedPageBreak/>
        <w:t>发光剂的发光特点进行描述，主要是发光强度与时间之间、发光强度与被分析物含量之间的关系。</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建议对申报产品采用的固相载体及其分离方式进行详细描述。</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建议以图示加文字的形式对申报产品适用的每种免疫反应模式进行分步骤详细介绍，每步骤的图示中均应体现出该步骤状态下反应单元内抗原、抗体、固相载体、发光剂等物质的对应状态。</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4 \* GB3 </w:instrText>
      </w:r>
      <w:r w:rsidRPr="00DF1104">
        <w:rPr>
          <w:rFonts w:eastAsia="仿宋_GB2312"/>
          <w:kern w:val="0"/>
          <w:sz w:val="32"/>
          <w:szCs w:val="32"/>
        </w:rPr>
        <w:fldChar w:fldCharType="separate"/>
      </w:r>
      <w:r w:rsidRPr="00DF1104">
        <w:rPr>
          <w:rFonts w:ascii="宋体" w:hAnsi="宋体" w:cs="宋体" w:hint="eastAsia"/>
          <w:kern w:val="0"/>
          <w:sz w:val="32"/>
          <w:szCs w:val="32"/>
        </w:rPr>
        <w:t>④</w:t>
      </w:r>
      <w:r w:rsidRPr="00DF1104">
        <w:rPr>
          <w:rFonts w:eastAsia="仿宋_GB2312"/>
          <w:kern w:val="0"/>
          <w:sz w:val="32"/>
          <w:szCs w:val="32"/>
        </w:rPr>
        <w:fldChar w:fldCharType="end"/>
      </w:r>
      <w:r w:rsidRPr="00DF1104">
        <w:rPr>
          <w:rFonts w:eastAsia="仿宋_GB2312"/>
          <w:kern w:val="0"/>
          <w:sz w:val="32"/>
          <w:szCs w:val="32"/>
        </w:rPr>
        <w:t>性能指标</w:t>
      </w:r>
    </w:p>
    <w:p w:rsidR="004B123A" w:rsidRPr="00DF1104" w:rsidRDefault="004B123A" w:rsidP="004B123A">
      <w:pPr>
        <w:adjustRightInd w:val="0"/>
        <w:snapToGrid w:val="0"/>
        <w:spacing w:line="520" w:lineRule="exact"/>
        <w:ind w:firstLineChars="200" w:firstLine="640"/>
        <w:rPr>
          <w:rFonts w:eastAsia="仿宋_GB2312"/>
          <w:sz w:val="32"/>
          <w:szCs w:val="32"/>
        </w:rPr>
      </w:pPr>
      <w:r w:rsidRPr="00DF1104">
        <w:rPr>
          <w:rFonts w:eastAsia="仿宋_GB2312"/>
          <w:sz w:val="32"/>
          <w:szCs w:val="32"/>
        </w:rPr>
        <w:t>建议写明以下内容：产品基本参数（</w:t>
      </w:r>
      <w:r w:rsidRPr="00DF1104">
        <w:rPr>
          <w:rFonts w:eastAsia="仿宋_GB2312"/>
          <w:kern w:val="0"/>
          <w:sz w:val="32"/>
          <w:szCs w:val="32"/>
        </w:rPr>
        <w:t>分析通量、试剂位数量、样品位数量等</w:t>
      </w:r>
      <w:r w:rsidRPr="00DF1104">
        <w:rPr>
          <w:rFonts w:eastAsia="仿宋_GB2312"/>
          <w:sz w:val="32"/>
          <w:szCs w:val="32"/>
        </w:rPr>
        <w:t>）、正常工作条件、电气安全、电磁兼容信息、性能指标等。</w:t>
      </w:r>
    </w:p>
    <w:p w:rsidR="004B123A" w:rsidRPr="00DF1104" w:rsidRDefault="004B123A" w:rsidP="004B123A">
      <w:pPr>
        <w:spacing w:line="520" w:lineRule="exact"/>
        <w:ind w:firstLineChars="200" w:firstLine="640"/>
        <w:rPr>
          <w:rFonts w:eastAsia="仿宋_GB2312"/>
          <w:kern w:val="0"/>
          <w:sz w:val="32"/>
          <w:szCs w:val="32"/>
        </w:rPr>
      </w:pPr>
      <w:r w:rsidRPr="00DF1104">
        <w:rPr>
          <w:rFonts w:ascii="宋体" w:hAnsi="宋体" w:cs="宋体" w:hint="eastAsia"/>
          <w:kern w:val="0"/>
          <w:sz w:val="32"/>
          <w:szCs w:val="32"/>
        </w:rPr>
        <w:t>⑤</w:t>
      </w:r>
      <w:r w:rsidRPr="00DF1104">
        <w:rPr>
          <w:rFonts w:eastAsia="仿宋_GB2312"/>
          <w:kern w:val="0"/>
          <w:sz w:val="32"/>
          <w:szCs w:val="32"/>
        </w:rPr>
        <w:t>工作环境要求</w:t>
      </w:r>
      <w:r w:rsidRPr="00DF1104">
        <w:rPr>
          <w:rFonts w:eastAsia="仿宋_GB2312"/>
          <w:kern w:val="0"/>
          <w:sz w:val="32"/>
          <w:szCs w:val="32"/>
        </w:rPr>
        <w:t xml:space="preserve"> </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建议至少写明以下内容：产品尺寸、重量、储存条件（温度、湿度）、正常工作条件（温度、湿度、海拔高度、电源要求）。</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7</w:t>
      </w:r>
      <w:r w:rsidRPr="00DF1104">
        <w:rPr>
          <w:rFonts w:eastAsia="仿宋_GB2312"/>
          <w:kern w:val="0"/>
          <w:sz w:val="32"/>
          <w:szCs w:val="32"/>
        </w:rPr>
        <w:t>）禁忌证、注意事项、警示以及提示的内容；</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8</w:t>
      </w:r>
      <w:r w:rsidRPr="00DF1104">
        <w:rPr>
          <w:rFonts w:eastAsia="仿宋_GB2312"/>
          <w:kern w:val="0"/>
          <w:sz w:val="32"/>
          <w:szCs w:val="32"/>
        </w:rPr>
        <w:t>）安装和使用说明或者图示：</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以申报产品安装调试完毕可开始正常工作作为初始状态介绍具体的操作方法，详细描述校准、质控、检测设计（样本操作、试剂操作、检测流程等）、结果传输和打印等每一步骤的详细操作方式，主要是在用户界面上如何操作应有详细的文字及图示描述。</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9</w:t>
      </w:r>
      <w:r w:rsidRPr="00DF1104">
        <w:rPr>
          <w:rFonts w:eastAsia="仿宋_GB2312"/>
          <w:kern w:val="0"/>
          <w:sz w:val="32"/>
          <w:szCs w:val="32"/>
        </w:rPr>
        <w:t>）产品维护和保养方法，特殊储存、运输条件、方法：</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1 \* GB3 </w:instrText>
      </w:r>
      <w:r w:rsidRPr="00DF1104">
        <w:rPr>
          <w:rFonts w:eastAsia="仿宋_GB2312"/>
          <w:kern w:val="0"/>
          <w:sz w:val="32"/>
          <w:szCs w:val="32"/>
        </w:rPr>
        <w:fldChar w:fldCharType="separate"/>
      </w:r>
      <w:r w:rsidRPr="00DF1104">
        <w:rPr>
          <w:rFonts w:ascii="宋体" w:hAnsi="宋体" w:cs="宋体" w:hint="eastAsia"/>
          <w:kern w:val="0"/>
          <w:sz w:val="32"/>
          <w:szCs w:val="32"/>
        </w:rPr>
        <w:t>①</w:t>
      </w:r>
      <w:r w:rsidRPr="00DF1104">
        <w:rPr>
          <w:rFonts w:eastAsia="仿宋_GB2312"/>
          <w:kern w:val="0"/>
          <w:sz w:val="32"/>
          <w:szCs w:val="32"/>
        </w:rPr>
        <w:fldChar w:fldCharType="end"/>
      </w:r>
      <w:r w:rsidRPr="00DF1104">
        <w:rPr>
          <w:rFonts w:eastAsia="仿宋_GB2312"/>
          <w:kern w:val="0"/>
          <w:sz w:val="32"/>
          <w:szCs w:val="32"/>
        </w:rPr>
        <w:t>维护和保养</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建议以文字加图示的方式对使用者能够进行的维护保养措施，包括每日维护（如，非工作时间液路系统的维护方法、废液</w:t>
      </w:r>
      <w:r w:rsidRPr="00DF1104">
        <w:rPr>
          <w:rFonts w:eastAsia="仿宋_GB2312"/>
          <w:kern w:val="0"/>
          <w:sz w:val="32"/>
          <w:szCs w:val="32"/>
        </w:rPr>
        <w:lastRenderedPageBreak/>
        <w:t>桶更换方法）、每周维护（如，水容器和水瓶的清洁方法）、每月维护（如，清洗试剂探针的方法）、重点零部件维护（如，样本架的维护保养方法）的具体内容进行详细描述。</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fldChar w:fldCharType="begin"/>
      </w:r>
      <w:r w:rsidRPr="00DF1104">
        <w:rPr>
          <w:rFonts w:eastAsia="仿宋_GB2312"/>
          <w:kern w:val="0"/>
          <w:sz w:val="32"/>
          <w:szCs w:val="32"/>
        </w:rPr>
        <w:instrText xml:space="preserve"> = 2 \* GB3 </w:instrText>
      </w:r>
      <w:r w:rsidRPr="00DF1104">
        <w:rPr>
          <w:rFonts w:eastAsia="仿宋_GB2312"/>
          <w:kern w:val="0"/>
          <w:sz w:val="32"/>
          <w:szCs w:val="32"/>
        </w:rPr>
        <w:fldChar w:fldCharType="separate"/>
      </w:r>
      <w:r w:rsidRPr="00DF1104">
        <w:rPr>
          <w:rFonts w:ascii="宋体" w:hAnsi="宋体" w:cs="宋体" w:hint="eastAsia"/>
          <w:kern w:val="0"/>
          <w:sz w:val="32"/>
          <w:szCs w:val="32"/>
        </w:rPr>
        <w:t>②</w:t>
      </w:r>
      <w:r w:rsidRPr="00DF1104">
        <w:rPr>
          <w:rFonts w:eastAsia="仿宋_GB2312"/>
          <w:kern w:val="0"/>
          <w:sz w:val="32"/>
          <w:szCs w:val="32"/>
        </w:rPr>
        <w:fldChar w:fldCharType="end"/>
      </w:r>
      <w:r w:rsidRPr="00DF1104">
        <w:rPr>
          <w:rFonts w:eastAsia="仿宋_GB2312"/>
          <w:kern w:val="0"/>
          <w:sz w:val="32"/>
          <w:szCs w:val="32"/>
        </w:rPr>
        <w:t>故障排除</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建议以列表方式对申报产品正常使用过程中可能出现的可由使用者自行排除的故障进行详细描述，应当至少写明故障的表现、可能原因、建议的处理方式。</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10</w:t>
      </w:r>
      <w:r w:rsidRPr="00DF1104">
        <w:rPr>
          <w:rFonts w:eastAsia="仿宋_GB2312"/>
          <w:kern w:val="0"/>
          <w:sz w:val="32"/>
          <w:szCs w:val="32"/>
        </w:rPr>
        <w:t>）生产日期，使用期限：</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注明产品的使用期限。使用期限应当根据产品有效期研究资料的内容写明年限。</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11</w:t>
      </w:r>
      <w:r w:rsidRPr="00DF1104">
        <w:rPr>
          <w:rFonts w:eastAsia="仿宋_GB2312"/>
          <w:kern w:val="0"/>
          <w:sz w:val="32"/>
          <w:szCs w:val="32"/>
        </w:rPr>
        <w:t>）配件清单，包括配件（适用的反应杯</w:t>
      </w:r>
      <w:r w:rsidRPr="00DF1104">
        <w:rPr>
          <w:rFonts w:eastAsia="仿宋_GB2312"/>
          <w:kern w:val="0"/>
          <w:sz w:val="32"/>
          <w:szCs w:val="32"/>
        </w:rPr>
        <w:t>/</w:t>
      </w:r>
      <w:r w:rsidRPr="00DF1104">
        <w:rPr>
          <w:rFonts w:eastAsia="仿宋_GB2312"/>
          <w:kern w:val="0"/>
          <w:sz w:val="32"/>
          <w:szCs w:val="32"/>
        </w:rPr>
        <w:t>管</w:t>
      </w:r>
      <w:r w:rsidRPr="00DF1104">
        <w:rPr>
          <w:rFonts w:eastAsia="仿宋_GB2312"/>
          <w:kern w:val="0"/>
          <w:sz w:val="32"/>
          <w:szCs w:val="32"/>
        </w:rPr>
        <w:t>/</w:t>
      </w:r>
      <w:r w:rsidRPr="00DF1104">
        <w:rPr>
          <w:rFonts w:eastAsia="仿宋_GB2312"/>
          <w:kern w:val="0"/>
          <w:sz w:val="32"/>
          <w:szCs w:val="32"/>
        </w:rPr>
        <w:t>池的规格、适用的样本管的规格、样本架情况、急诊样本情况、条码类型）、附属品及损耗品，应写明每一配件的名称，如必要，还需写明更换周期以及更换方法等；</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12</w:t>
      </w:r>
      <w:r w:rsidRPr="00DF1104">
        <w:rPr>
          <w:rFonts w:eastAsia="仿宋_GB2312"/>
          <w:kern w:val="0"/>
          <w:sz w:val="32"/>
          <w:szCs w:val="32"/>
        </w:rPr>
        <w:t>）产品标签所用的图形、符号、缩写等内容的解释；</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w:t>
      </w:r>
      <w:r w:rsidRPr="00DF1104">
        <w:rPr>
          <w:rFonts w:eastAsia="仿宋_GB2312"/>
          <w:kern w:val="0"/>
          <w:sz w:val="32"/>
          <w:szCs w:val="32"/>
        </w:rPr>
        <w:t>13</w:t>
      </w:r>
      <w:r w:rsidRPr="00DF1104">
        <w:rPr>
          <w:rFonts w:eastAsia="仿宋_GB2312"/>
          <w:kern w:val="0"/>
          <w:sz w:val="32"/>
          <w:szCs w:val="32"/>
        </w:rPr>
        <w:t>）说明书的编制或者修订日期；</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产品说明书的内容均应有明确的来源，与综述资料、研究资料等注册申报资料的内容保持一致。进口产品的原文说明书如缺少上述项目中的某些内容，应当在产品中文说明书中予以增加，涉及技术内容且前述注册申报资料中未包含的，建议提交相应验证资料。</w:t>
      </w:r>
    </w:p>
    <w:p w:rsidR="004B123A" w:rsidRPr="00DF1104" w:rsidRDefault="004B123A" w:rsidP="004B123A">
      <w:pPr>
        <w:spacing w:line="520" w:lineRule="exact"/>
        <w:ind w:firstLineChars="200" w:firstLine="640"/>
        <w:rPr>
          <w:rFonts w:eastAsia="仿宋_GB2312"/>
          <w:kern w:val="0"/>
          <w:sz w:val="32"/>
          <w:szCs w:val="32"/>
        </w:rPr>
      </w:pPr>
      <w:r w:rsidRPr="00DF1104">
        <w:rPr>
          <w:rFonts w:eastAsia="仿宋_GB2312"/>
          <w:kern w:val="0"/>
          <w:sz w:val="32"/>
          <w:szCs w:val="32"/>
        </w:rPr>
        <w:t>2.</w:t>
      </w:r>
      <w:r w:rsidRPr="00DF1104">
        <w:rPr>
          <w:rFonts w:eastAsia="仿宋_GB2312"/>
          <w:kern w:val="0"/>
          <w:sz w:val="32"/>
          <w:szCs w:val="32"/>
        </w:rPr>
        <w:t>最小销售单元的标签样稿</w:t>
      </w:r>
    </w:p>
    <w:p w:rsidR="004B123A" w:rsidRPr="00DF1104" w:rsidRDefault="004B123A" w:rsidP="004B123A">
      <w:pPr>
        <w:widowControl/>
        <w:adjustRightInd w:val="0"/>
        <w:snapToGrid w:val="0"/>
        <w:spacing w:line="520" w:lineRule="exact"/>
        <w:ind w:firstLineChars="200" w:firstLine="640"/>
        <w:rPr>
          <w:rFonts w:eastAsia="仿宋_GB2312"/>
          <w:sz w:val="32"/>
          <w:szCs w:val="32"/>
        </w:rPr>
      </w:pPr>
      <w:r w:rsidRPr="00DF1104">
        <w:rPr>
          <w:rFonts w:eastAsia="仿宋_GB2312"/>
          <w:kern w:val="0"/>
          <w:sz w:val="32"/>
          <w:szCs w:val="32"/>
        </w:rPr>
        <w:lastRenderedPageBreak/>
        <w:t>标签样稿应当符合《医疗器械说明书和标签管理规定》的要求，其内容应当至少包括第十三条规定的所有适用内容。</w:t>
      </w:r>
      <w:r w:rsidRPr="00DF1104">
        <w:rPr>
          <w:rFonts w:eastAsia="仿宋_GB2312"/>
          <w:sz w:val="32"/>
          <w:szCs w:val="32"/>
        </w:rPr>
        <w:t>因位置或者大小受限而无法全部标明上述内容的，至少应当标注产品名称、型号、规格、生产日期和使用期限或者失效日期，并在标签中明确</w:t>
      </w:r>
      <w:r w:rsidRPr="00DF1104">
        <w:rPr>
          <w:rFonts w:eastAsia="仿宋_GB2312"/>
          <w:sz w:val="32"/>
          <w:szCs w:val="32"/>
        </w:rPr>
        <w:t>“</w:t>
      </w:r>
      <w:r w:rsidRPr="00DF1104">
        <w:rPr>
          <w:rFonts w:eastAsia="仿宋_GB2312"/>
          <w:sz w:val="32"/>
          <w:szCs w:val="32"/>
        </w:rPr>
        <w:t>其他内容详见说明书</w:t>
      </w:r>
      <w:r w:rsidRPr="00DF1104">
        <w:rPr>
          <w:rFonts w:eastAsia="仿宋_GB2312"/>
          <w:sz w:val="32"/>
          <w:szCs w:val="32"/>
        </w:rPr>
        <w:t>”</w:t>
      </w:r>
      <w:r w:rsidRPr="00DF1104">
        <w:rPr>
          <w:rFonts w:eastAsia="仿宋_GB2312"/>
          <w:sz w:val="32"/>
          <w:szCs w:val="32"/>
        </w:rPr>
        <w:t>。</w:t>
      </w:r>
    </w:p>
    <w:p w:rsidR="004B123A" w:rsidRPr="00DF1104" w:rsidRDefault="004B123A" w:rsidP="004B123A">
      <w:pPr>
        <w:spacing w:line="520" w:lineRule="exact"/>
        <w:ind w:rightChars="-32" w:right="-67" w:firstLineChars="200" w:firstLine="640"/>
        <w:rPr>
          <w:rFonts w:eastAsia="楷体_GB2312"/>
          <w:sz w:val="32"/>
          <w:szCs w:val="32"/>
        </w:rPr>
      </w:pPr>
      <w:r w:rsidRPr="00DF1104">
        <w:rPr>
          <w:rFonts w:eastAsia="楷体_GB2312"/>
          <w:sz w:val="32"/>
          <w:szCs w:val="32"/>
        </w:rPr>
        <w:t>（六）质量管理体系文件</w:t>
      </w:r>
    </w:p>
    <w:p w:rsidR="004B123A" w:rsidRPr="00DF1104" w:rsidRDefault="004B123A" w:rsidP="004B123A">
      <w:pPr>
        <w:tabs>
          <w:tab w:val="left" w:pos="8040"/>
        </w:tabs>
        <w:adjustRightInd w:val="0"/>
        <w:snapToGrid w:val="0"/>
        <w:spacing w:line="540" w:lineRule="exact"/>
        <w:ind w:firstLineChars="200" w:firstLine="640"/>
        <w:rPr>
          <w:rFonts w:eastAsia="仿宋_GB2312"/>
          <w:sz w:val="32"/>
          <w:szCs w:val="32"/>
        </w:rPr>
      </w:pPr>
      <w:r w:rsidRPr="00DF1104">
        <w:rPr>
          <w:rFonts w:eastAsia="仿宋_GB2312"/>
          <w:sz w:val="32"/>
          <w:szCs w:val="32"/>
        </w:rPr>
        <w:t>质量管理体系文件主要包括综述、生产制造信息、质量管理体系程序、管理职责程序、资源管理程序、产品实现程序、质量管理体系的测量、分析和改进程序、其他质量体系程序信息、质量管理体系核查信息等内容，应符合《医疗器械注册与备案管理办法》和《关于公布医疗器械注册申报资料要求和批准证明文件格式的公告》的相关要求。</w:t>
      </w:r>
    </w:p>
    <w:p w:rsidR="004B123A" w:rsidRPr="00DF1104" w:rsidRDefault="004B123A" w:rsidP="004B123A">
      <w:pPr>
        <w:numPr>
          <w:ilvl w:val="0"/>
          <w:numId w:val="1"/>
        </w:numPr>
        <w:spacing w:line="520" w:lineRule="exact"/>
        <w:ind w:rightChars="-32" w:right="-67" w:firstLineChars="200" w:firstLine="640"/>
        <w:rPr>
          <w:rFonts w:eastAsia="黑体"/>
          <w:sz w:val="32"/>
          <w:szCs w:val="32"/>
        </w:rPr>
      </w:pPr>
      <w:r w:rsidRPr="00DF1104">
        <w:rPr>
          <w:rFonts w:eastAsia="黑体"/>
          <w:sz w:val="32"/>
          <w:szCs w:val="32"/>
        </w:rPr>
        <w:t>参考文献</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中华人民共和国国务院</w:t>
      </w:r>
      <w:r w:rsidRPr="00DF1104">
        <w:rPr>
          <w:rFonts w:eastAsia="仿宋_GB2312"/>
          <w:sz w:val="32"/>
          <w:szCs w:val="32"/>
        </w:rPr>
        <w:t>.</w:t>
      </w:r>
      <w:r w:rsidRPr="00DF1104">
        <w:rPr>
          <w:rFonts w:eastAsia="仿宋_GB2312"/>
          <w:sz w:val="32"/>
          <w:szCs w:val="32"/>
        </w:rPr>
        <w:t>《医疗器械监督管理条例》（中华人民共和国国务院令第</w:t>
      </w:r>
      <w:r w:rsidRPr="00DF1104">
        <w:rPr>
          <w:rFonts w:eastAsia="仿宋_GB2312"/>
          <w:sz w:val="32"/>
          <w:szCs w:val="32"/>
        </w:rPr>
        <w:t>739</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国家市场监督管理总局《医疗器械注册与备案管理办法》（国家市场监督管理总局令第</w:t>
      </w:r>
      <w:r w:rsidRPr="00DF1104">
        <w:rPr>
          <w:rFonts w:eastAsia="仿宋_GB2312"/>
          <w:sz w:val="32"/>
          <w:szCs w:val="32"/>
        </w:rPr>
        <w:t>47</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《关于公布医疗器械注册申报资料要求和批准证明文件格式的公告》（国家药品监督管理局公告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121</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《医疗器械注册自检管理规定》（国家药品监督管理局公告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126</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[5]</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《医疗器械说明书和标签管理规定》（国家食品药品监督管理总局令第</w:t>
      </w:r>
      <w:r w:rsidRPr="00DF1104">
        <w:rPr>
          <w:rFonts w:eastAsia="仿宋_GB2312"/>
          <w:sz w:val="32"/>
          <w:szCs w:val="32"/>
        </w:rPr>
        <w:t>6</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[6]</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《医疗器械通用名称命名规则》（国家食品药品监督管理总局令第</w:t>
      </w:r>
      <w:r w:rsidRPr="00DF1104">
        <w:rPr>
          <w:rFonts w:eastAsia="仿宋_GB2312"/>
          <w:sz w:val="32"/>
          <w:szCs w:val="32"/>
        </w:rPr>
        <w:t>19</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lastRenderedPageBreak/>
        <w:t>[7]</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《总局关于发布医疗器械分类目录的公告》（国家食品药品监督管理总局公告</w:t>
      </w:r>
      <w:r w:rsidRPr="00DF1104">
        <w:rPr>
          <w:rFonts w:eastAsia="仿宋_GB2312"/>
          <w:sz w:val="32"/>
          <w:szCs w:val="32"/>
        </w:rPr>
        <w:t>2017</w:t>
      </w:r>
      <w:r w:rsidRPr="00DF1104">
        <w:rPr>
          <w:rFonts w:eastAsia="仿宋_GB2312"/>
          <w:sz w:val="32"/>
          <w:szCs w:val="32"/>
        </w:rPr>
        <w:t>年第</w:t>
      </w:r>
      <w:r w:rsidRPr="00DF1104">
        <w:rPr>
          <w:rFonts w:eastAsia="仿宋_GB2312"/>
          <w:sz w:val="32"/>
          <w:szCs w:val="32"/>
        </w:rPr>
        <w:t>104</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[8]</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《国家药监局关于发布医疗器械产品技术要求编写指导原则的通告》（国家药品监督管理局通告</w:t>
      </w:r>
      <w:r w:rsidRPr="00DF1104">
        <w:rPr>
          <w:rFonts w:eastAsia="仿宋_GB2312"/>
          <w:sz w:val="32"/>
          <w:szCs w:val="32"/>
        </w:rPr>
        <w:t>2022</w:t>
      </w:r>
      <w:r w:rsidRPr="00DF1104">
        <w:rPr>
          <w:rFonts w:eastAsia="仿宋_GB2312"/>
          <w:sz w:val="32"/>
          <w:szCs w:val="32"/>
        </w:rPr>
        <w:t>年第</w:t>
      </w:r>
      <w:r w:rsidRPr="00DF1104">
        <w:rPr>
          <w:rFonts w:eastAsia="仿宋_GB2312"/>
          <w:sz w:val="32"/>
          <w:szCs w:val="32"/>
        </w:rPr>
        <w:t>8</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[9]</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《国家药监局器审中心关于发布医疗器械软件注册审查指导原则（</w:t>
      </w:r>
      <w:r w:rsidRPr="00DF1104">
        <w:rPr>
          <w:rFonts w:eastAsia="仿宋_GB2312"/>
          <w:sz w:val="32"/>
          <w:szCs w:val="32"/>
        </w:rPr>
        <w:t>2022</w:t>
      </w:r>
      <w:r w:rsidRPr="00DF1104">
        <w:rPr>
          <w:rFonts w:eastAsia="仿宋_GB2312"/>
          <w:sz w:val="32"/>
          <w:szCs w:val="32"/>
        </w:rPr>
        <w:t>年修订版）的通告》（国家药品监督管理局医疗器械技术审评中心通告</w:t>
      </w:r>
      <w:r w:rsidRPr="00DF1104">
        <w:rPr>
          <w:rFonts w:eastAsia="仿宋_GB2312"/>
          <w:sz w:val="32"/>
          <w:szCs w:val="32"/>
        </w:rPr>
        <w:t>2022</w:t>
      </w:r>
      <w:r w:rsidRPr="00DF1104">
        <w:rPr>
          <w:rFonts w:eastAsia="仿宋_GB2312"/>
          <w:sz w:val="32"/>
          <w:szCs w:val="32"/>
        </w:rPr>
        <w:t>年第</w:t>
      </w:r>
      <w:r w:rsidRPr="00DF1104">
        <w:rPr>
          <w:rFonts w:eastAsia="仿宋_GB2312"/>
          <w:sz w:val="32"/>
          <w:szCs w:val="32"/>
        </w:rPr>
        <w:t>9</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[10]</w:t>
      </w:r>
      <w:r w:rsidRPr="00DF1104">
        <w:rPr>
          <w:rFonts w:eastAsia="仿宋_GB2312"/>
          <w:sz w:val="32"/>
          <w:szCs w:val="32"/>
        </w:rPr>
        <w:t>国家药品监督管理局医疗器械技术审评中心</w:t>
      </w:r>
      <w:r w:rsidRPr="00DF1104">
        <w:rPr>
          <w:rFonts w:eastAsia="仿宋_GB2312"/>
          <w:sz w:val="32"/>
          <w:szCs w:val="32"/>
        </w:rPr>
        <w:t>.</w:t>
      </w:r>
      <w:r w:rsidRPr="00DF1104">
        <w:rPr>
          <w:rFonts w:eastAsia="仿宋_GB2312"/>
          <w:sz w:val="32"/>
          <w:szCs w:val="32"/>
        </w:rPr>
        <w:t>《国家药监局器审中心关于发布医疗器械网络安全注册审查指导原则（</w:t>
      </w:r>
      <w:r w:rsidRPr="00DF1104">
        <w:rPr>
          <w:rFonts w:eastAsia="仿宋_GB2312"/>
          <w:sz w:val="32"/>
          <w:szCs w:val="32"/>
        </w:rPr>
        <w:t>2022</w:t>
      </w:r>
      <w:r w:rsidRPr="00DF1104">
        <w:rPr>
          <w:rFonts w:eastAsia="仿宋_GB2312"/>
          <w:sz w:val="32"/>
          <w:szCs w:val="32"/>
        </w:rPr>
        <w:t>年修订版）的通告》（国家药品监督管理局医疗器械技术审评中心通告</w:t>
      </w:r>
      <w:r w:rsidRPr="00DF1104">
        <w:rPr>
          <w:rFonts w:eastAsia="仿宋_GB2312"/>
          <w:sz w:val="32"/>
          <w:szCs w:val="32"/>
        </w:rPr>
        <w:t>2022</w:t>
      </w:r>
      <w:r w:rsidRPr="00DF1104">
        <w:rPr>
          <w:rFonts w:eastAsia="仿宋_GB2312"/>
          <w:sz w:val="32"/>
          <w:szCs w:val="32"/>
        </w:rPr>
        <w:t>年第</w:t>
      </w:r>
      <w:r w:rsidRPr="00DF1104">
        <w:rPr>
          <w:rFonts w:eastAsia="仿宋_GB2312"/>
          <w:sz w:val="32"/>
          <w:szCs w:val="32"/>
        </w:rPr>
        <w:t>7</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[11]</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《关于发布有源医疗器械使用期限注册技术审查指导原则的通告》（国家药品监督管理局通告</w:t>
      </w:r>
      <w:r w:rsidRPr="00DF1104">
        <w:rPr>
          <w:rFonts w:eastAsia="仿宋_GB2312"/>
          <w:sz w:val="32"/>
          <w:szCs w:val="32"/>
        </w:rPr>
        <w:t>2019</w:t>
      </w:r>
      <w:r w:rsidRPr="00DF1104">
        <w:rPr>
          <w:rFonts w:eastAsia="仿宋_GB2312"/>
          <w:sz w:val="32"/>
          <w:szCs w:val="32"/>
        </w:rPr>
        <w:t>年第</w:t>
      </w:r>
      <w:r w:rsidRPr="00DF1104">
        <w:rPr>
          <w:rFonts w:eastAsia="仿宋_GB2312"/>
          <w:sz w:val="32"/>
          <w:szCs w:val="32"/>
        </w:rPr>
        <w:t>23</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[12]</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《国家药监局关于发布免于临床评价医疗器械目录的通告》（国家药品监督管理局通告</w:t>
      </w:r>
      <w:r w:rsidRPr="00DF1104">
        <w:rPr>
          <w:rFonts w:eastAsia="仿宋_GB2312"/>
          <w:sz w:val="32"/>
          <w:szCs w:val="32"/>
        </w:rPr>
        <w:t>2023</w:t>
      </w:r>
      <w:r w:rsidRPr="00DF1104">
        <w:rPr>
          <w:rFonts w:eastAsia="仿宋_GB2312"/>
          <w:sz w:val="32"/>
          <w:szCs w:val="32"/>
        </w:rPr>
        <w:t>年第</w:t>
      </w:r>
      <w:r w:rsidRPr="00DF1104">
        <w:rPr>
          <w:rFonts w:eastAsia="仿宋_GB2312"/>
          <w:sz w:val="32"/>
          <w:szCs w:val="32"/>
        </w:rPr>
        <w:t>33</w:t>
      </w:r>
      <w:r w:rsidRPr="00DF1104">
        <w:rPr>
          <w:rFonts w:eastAsia="仿宋_GB2312"/>
          <w:sz w:val="32"/>
          <w:szCs w:val="32"/>
        </w:rPr>
        <w:t>号）</w:t>
      </w:r>
      <w:r w:rsidRPr="00DF1104">
        <w:rPr>
          <w:rFonts w:eastAsia="仿宋_GB2312"/>
          <w:sz w:val="32"/>
          <w:szCs w:val="32"/>
        </w:rPr>
        <w:t>[Z].</w:t>
      </w:r>
    </w:p>
    <w:p w:rsidR="004B123A" w:rsidRPr="00DF1104" w:rsidRDefault="004B123A" w:rsidP="004B123A">
      <w:pPr>
        <w:spacing w:line="520" w:lineRule="exact"/>
        <w:ind w:firstLineChars="200" w:firstLine="640"/>
        <w:rPr>
          <w:rFonts w:eastAsia="仿宋_GB2312"/>
          <w:sz w:val="32"/>
          <w:szCs w:val="32"/>
        </w:rPr>
      </w:pPr>
      <w:r w:rsidRPr="00DF1104">
        <w:rPr>
          <w:rFonts w:eastAsia="仿宋_GB2312"/>
          <w:sz w:val="32"/>
          <w:szCs w:val="32"/>
        </w:rPr>
        <w:t>[13]</w:t>
      </w:r>
      <w:r w:rsidRPr="00DF1104">
        <w:rPr>
          <w:rFonts w:eastAsia="仿宋_GB2312"/>
        </w:rPr>
        <w:t xml:space="preserve"> </w:t>
      </w:r>
      <w:r w:rsidRPr="00DF1104">
        <w:rPr>
          <w:rFonts w:eastAsia="仿宋_GB2312"/>
          <w:sz w:val="32"/>
          <w:szCs w:val="32"/>
        </w:rPr>
        <w:t>国家药品监督管理局</w:t>
      </w:r>
      <w:r w:rsidRPr="00DF1104">
        <w:rPr>
          <w:rFonts w:eastAsia="仿宋_GB2312"/>
          <w:sz w:val="32"/>
          <w:szCs w:val="32"/>
        </w:rPr>
        <w:t>.YY/T 1155-2019,</w:t>
      </w:r>
      <w:r w:rsidRPr="00DF1104">
        <w:rPr>
          <w:rFonts w:eastAsia="仿宋_GB2312"/>
        </w:rPr>
        <w:t xml:space="preserve"> </w:t>
      </w:r>
      <w:r w:rsidRPr="00DF1104">
        <w:rPr>
          <w:rFonts w:eastAsia="仿宋_GB2312"/>
          <w:sz w:val="32"/>
          <w:szCs w:val="32"/>
        </w:rPr>
        <w:t>全自动发光免疫分析仪</w:t>
      </w:r>
      <w:r w:rsidRPr="00DF1104">
        <w:rPr>
          <w:rFonts w:eastAsia="仿宋_GB2312"/>
          <w:sz w:val="32"/>
          <w:szCs w:val="32"/>
        </w:rPr>
        <w:t>[S].</w:t>
      </w:r>
    </w:p>
    <w:p w:rsidR="004B123A" w:rsidRPr="00DF1104" w:rsidRDefault="004B123A" w:rsidP="004B123A">
      <w:pPr>
        <w:spacing w:line="520" w:lineRule="exact"/>
        <w:rPr>
          <w:rFonts w:eastAsia="仿宋_GB2312"/>
          <w:sz w:val="32"/>
          <w:szCs w:val="32"/>
        </w:rPr>
        <w:sectPr w:rsidR="004B123A" w:rsidRPr="00DF1104" w:rsidSect="00866BF0">
          <w:footerReference w:type="even" r:id="rId8"/>
          <w:footerReference w:type="default" r:id="rId9"/>
          <w:pgSz w:w="11906" w:h="16838"/>
          <w:pgMar w:top="1440" w:right="1588" w:bottom="1440" w:left="1474" w:header="851" w:footer="992" w:gutter="0"/>
          <w:cols w:space="425"/>
          <w:docGrid w:type="lines" w:linePitch="312"/>
        </w:sectPr>
      </w:pPr>
    </w:p>
    <w:p w:rsidR="004B123A" w:rsidRDefault="004B123A" w:rsidP="004B123A">
      <w:pPr>
        <w:spacing w:line="520" w:lineRule="exact"/>
        <w:rPr>
          <w:rFonts w:eastAsia="黑体"/>
          <w:sz w:val="32"/>
          <w:szCs w:val="32"/>
        </w:rPr>
      </w:pPr>
      <w:r>
        <w:rPr>
          <w:rFonts w:eastAsia="黑体"/>
          <w:sz w:val="32"/>
          <w:szCs w:val="32"/>
        </w:rPr>
        <w:lastRenderedPageBreak/>
        <w:t>附件</w:t>
      </w:r>
      <w:r>
        <w:rPr>
          <w:rFonts w:eastAsia="黑体" w:hint="eastAsia"/>
          <w:sz w:val="32"/>
          <w:szCs w:val="32"/>
        </w:rPr>
        <w:t>5</w:t>
      </w:r>
      <w:r>
        <w:rPr>
          <w:rFonts w:eastAsia="黑体"/>
          <w:sz w:val="32"/>
          <w:szCs w:val="32"/>
        </w:rPr>
        <w:t>-1</w:t>
      </w:r>
    </w:p>
    <w:p w:rsidR="004B123A" w:rsidRPr="00DF1104" w:rsidRDefault="004B123A" w:rsidP="004B123A">
      <w:pPr>
        <w:spacing w:line="520" w:lineRule="exact"/>
        <w:rPr>
          <w:rFonts w:eastAsia="黑体"/>
          <w:sz w:val="32"/>
          <w:szCs w:val="32"/>
        </w:rPr>
      </w:pPr>
    </w:p>
    <w:p w:rsidR="004B123A" w:rsidRDefault="004B123A" w:rsidP="004B123A">
      <w:pPr>
        <w:spacing w:line="520" w:lineRule="exact"/>
        <w:jc w:val="center"/>
        <w:rPr>
          <w:rFonts w:eastAsia="方正小标宋简体"/>
          <w:sz w:val="44"/>
          <w:szCs w:val="44"/>
        </w:rPr>
      </w:pPr>
      <w:r w:rsidRPr="00DF1104">
        <w:rPr>
          <w:rFonts w:eastAsia="方正小标宋简体"/>
          <w:sz w:val="44"/>
          <w:szCs w:val="44"/>
        </w:rPr>
        <w:t>申报产品相关信息与《目录》所述内容对比表</w:t>
      </w:r>
    </w:p>
    <w:p w:rsidR="004B123A" w:rsidRPr="00DF1104" w:rsidRDefault="004B123A" w:rsidP="004B123A">
      <w:pPr>
        <w:spacing w:line="520" w:lineRule="exact"/>
        <w:jc w:val="center"/>
        <w:rPr>
          <w:rFonts w:eastAsia="方正小标宋简体"/>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393"/>
        <w:gridCol w:w="6470"/>
      </w:tblGrid>
      <w:tr w:rsidR="004B123A" w:rsidRPr="00DF1104" w:rsidTr="00AE411F">
        <w:tc>
          <w:tcPr>
            <w:tcW w:w="2085" w:type="dxa"/>
            <w:vAlign w:val="center"/>
          </w:tcPr>
          <w:p w:rsidR="004B123A" w:rsidRPr="00DF1104" w:rsidRDefault="004B123A" w:rsidP="00AE411F">
            <w:pPr>
              <w:spacing w:line="520" w:lineRule="exact"/>
              <w:jc w:val="center"/>
              <w:rPr>
                <w:rFonts w:eastAsia="仿宋_GB2312"/>
                <w:sz w:val="28"/>
                <w:szCs w:val="28"/>
              </w:rPr>
            </w:pPr>
          </w:p>
        </w:tc>
        <w:tc>
          <w:tcPr>
            <w:tcW w:w="5393"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申报产品</w:t>
            </w:r>
          </w:p>
        </w:tc>
        <w:tc>
          <w:tcPr>
            <w:tcW w:w="6470"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《目录》描述</w:t>
            </w:r>
          </w:p>
        </w:tc>
      </w:tr>
      <w:tr w:rsidR="004B123A" w:rsidRPr="00DF1104" w:rsidTr="00AE411F">
        <w:tc>
          <w:tcPr>
            <w:tcW w:w="2085"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结构组成</w:t>
            </w:r>
          </w:p>
        </w:tc>
        <w:tc>
          <w:tcPr>
            <w:tcW w:w="5393"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根据申报产品具体情况，写明组成模块。</w:t>
            </w:r>
          </w:p>
        </w:tc>
        <w:tc>
          <w:tcPr>
            <w:tcW w:w="6470"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取样中心、处理中心、废液和供应中心、系统控制中心等。</w:t>
            </w:r>
          </w:p>
        </w:tc>
      </w:tr>
      <w:tr w:rsidR="004B123A" w:rsidRPr="00DF1104" w:rsidTr="00AE411F">
        <w:tc>
          <w:tcPr>
            <w:tcW w:w="2085"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反应原理</w:t>
            </w:r>
          </w:p>
        </w:tc>
        <w:tc>
          <w:tcPr>
            <w:tcW w:w="5393" w:type="dxa"/>
            <w:vAlign w:val="center"/>
          </w:tcPr>
          <w:p w:rsidR="004B123A" w:rsidRPr="00DF1104" w:rsidRDefault="004B123A" w:rsidP="004B123A">
            <w:pPr>
              <w:numPr>
                <w:ilvl w:val="0"/>
                <w:numId w:val="2"/>
              </w:numPr>
              <w:spacing w:line="520" w:lineRule="exact"/>
              <w:rPr>
                <w:rFonts w:eastAsia="仿宋_GB2312"/>
                <w:sz w:val="28"/>
                <w:szCs w:val="28"/>
              </w:rPr>
            </w:pPr>
            <w:r w:rsidRPr="00DF1104">
              <w:rPr>
                <w:rFonts w:eastAsia="仿宋_GB2312"/>
                <w:sz w:val="28"/>
                <w:szCs w:val="28"/>
              </w:rPr>
              <w:t>化学发光反应类型。</w:t>
            </w:r>
          </w:p>
          <w:p w:rsidR="004B123A" w:rsidRPr="00DF1104" w:rsidRDefault="004B123A" w:rsidP="004B123A">
            <w:pPr>
              <w:numPr>
                <w:ilvl w:val="0"/>
                <w:numId w:val="2"/>
              </w:numPr>
              <w:spacing w:line="520" w:lineRule="exact"/>
              <w:rPr>
                <w:rFonts w:eastAsia="仿宋_GB2312"/>
                <w:sz w:val="28"/>
                <w:szCs w:val="28"/>
              </w:rPr>
            </w:pPr>
            <w:r w:rsidRPr="00DF1104">
              <w:rPr>
                <w:rFonts w:eastAsia="仿宋_GB2312"/>
                <w:sz w:val="28"/>
                <w:szCs w:val="28"/>
              </w:rPr>
              <w:t>免疫反应模式。</w:t>
            </w:r>
          </w:p>
          <w:p w:rsidR="004B123A" w:rsidRPr="00DF1104" w:rsidRDefault="004B123A" w:rsidP="004B123A">
            <w:pPr>
              <w:numPr>
                <w:ilvl w:val="0"/>
                <w:numId w:val="2"/>
              </w:numPr>
              <w:spacing w:line="520" w:lineRule="exact"/>
              <w:rPr>
                <w:rFonts w:eastAsia="仿宋_GB2312"/>
                <w:sz w:val="28"/>
                <w:szCs w:val="28"/>
              </w:rPr>
            </w:pPr>
            <w:r w:rsidRPr="00DF1104">
              <w:rPr>
                <w:rFonts w:eastAsia="仿宋_GB2312"/>
                <w:sz w:val="28"/>
                <w:szCs w:val="28"/>
              </w:rPr>
              <w:t>光信号与分析物浓度的关系。</w:t>
            </w:r>
          </w:p>
        </w:tc>
        <w:tc>
          <w:tcPr>
            <w:tcW w:w="6470"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抗原抗体相互结合的免疫学反应为基础，使用酶标记或化学发光剂标记抗原抗体，通过一系列级联放大反应，将光信号或电信号与分析物浓度等相联系。</w:t>
            </w:r>
          </w:p>
        </w:tc>
      </w:tr>
      <w:tr w:rsidR="004B123A" w:rsidRPr="00DF1104" w:rsidTr="00AE411F">
        <w:tc>
          <w:tcPr>
            <w:tcW w:w="2085"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样本类型</w:t>
            </w:r>
          </w:p>
        </w:tc>
        <w:tc>
          <w:tcPr>
            <w:tcW w:w="5393"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血清、血浆、全血、尿液、脑脊液等（按申报产品具体情况写明）</w:t>
            </w:r>
          </w:p>
        </w:tc>
        <w:tc>
          <w:tcPr>
            <w:tcW w:w="6470"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人类体液。</w:t>
            </w:r>
          </w:p>
        </w:tc>
      </w:tr>
      <w:tr w:rsidR="004B123A" w:rsidRPr="00DF1104" w:rsidTr="00AE411F">
        <w:tc>
          <w:tcPr>
            <w:tcW w:w="2085" w:type="dxa"/>
            <w:vAlign w:val="center"/>
          </w:tcPr>
          <w:p w:rsidR="004B123A" w:rsidRPr="00DF1104" w:rsidRDefault="004B123A" w:rsidP="00AE411F">
            <w:pPr>
              <w:spacing w:line="520" w:lineRule="exact"/>
              <w:jc w:val="center"/>
              <w:rPr>
                <w:rFonts w:eastAsia="黑体"/>
                <w:sz w:val="28"/>
                <w:szCs w:val="28"/>
              </w:rPr>
            </w:pPr>
            <w:r w:rsidRPr="00DF1104">
              <w:rPr>
                <w:rFonts w:eastAsia="黑体"/>
                <w:sz w:val="28"/>
                <w:szCs w:val="28"/>
              </w:rPr>
              <w:t>被分析物</w:t>
            </w:r>
          </w:p>
        </w:tc>
        <w:tc>
          <w:tcPr>
            <w:tcW w:w="5393"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蛋白质、多肽、氨基酸等（按申报产品具体情况写明）</w:t>
            </w:r>
          </w:p>
        </w:tc>
        <w:tc>
          <w:tcPr>
            <w:tcW w:w="6470" w:type="dxa"/>
            <w:vAlign w:val="center"/>
          </w:tcPr>
          <w:p w:rsidR="004B123A" w:rsidRPr="00DF1104" w:rsidRDefault="004B123A" w:rsidP="00AE411F">
            <w:pPr>
              <w:spacing w:line="520" w:lineRule="exact"/>
              <w:rPr>
                <w:rFonts w:eastAsia="仿宋_GB2312"/>
                <w:sz w:val="28"/>
                <w:szCs w:val="28"/>
              </w:rPr>
            </w:pPr>
            <w:r w:rsidRPr="00DF1104">
              <w:rPr>
                <w:rFonts w:eastAsia="仿宋_GB2312"/>
                <w:sz w:val="28"/>
                <w:szCs w:val="28"/>
              </w:rPr>
              <w:t>各种分析物，如肿瘤标志物，病原体抗原抗体等。</w:t>
            </w:r>
          </w:p>
        </w:tc>
      </w:tr>
    </w:tbl>
    <w:p w:rsidR="004B123A" w:rsidRPr="00DF1104" w:rsidRDefault="004B123A" w:rsidP="004B123A">
      <w:pPr>
        <w:spacing w:line="520" w:lineRule="exact"/>
        <w:rPr>
          <w:rFonts w:eastAsia="仿宋_GB2312"/>
          <w:sz w:val="32"/>
          <w:szCs w:val="32"/>
        </w:rPr>
      </w:pPr>
    </w:p>
    <w:p w:rsidR="004B123A" w:rsidRPr="00DF1104" w:rsidRDefault="004B123A" w:rsidP="004B123A">
      <w:pPr>
        <w:spacing w:line="520" w:lineRule="exact"/>
        <w:rPr>
          <w:rFonts w:eastAsia="仿宋_GB2312"/>
          <w:sz w:val="32"/>
          <w:szCs w:val="32"/>
        </w:rPr>
      </w:pPr>
    </w:p>
    <w:p w:rsidR="004B123A" w:rsidRDefault="004B123A" w:rsidP="004B123A">
      <w:pPr>
        <w:spacing w:line="520" w:lineRule="exact"/>
        <w:rPr>
          <w:rFonts w:eastAsia="黑体"/>
          <w:sz w:val="32"/>
          <w:szCs w:val="32"/>
        </w:rPr>
      </w:pPr>
      <w:r>
        <w:rPr>
          <w:rFonts w:eastAsia="黑体"/>
          <w:sz w:val="32"/>
          <w:szCs w:val="32"/>
        </w:rPr>
        <w:lastRenderedPageBreak/>
        <w:t>附件</w:t>
      </w:r>
      <w:r>
        <w:rPr>
          <w:rFonts w:eastAsia="黑体" w:hint="eastAsia"/>
          <w:sz w:val="32"/>
          <w:szCs w:val="32"/>
        </w:rPr>
        <w:t>5</w:t>
      </w:r>
      <w:r>
        <w:rPr>
          <w:rFonts w:eastAsia="黑体"/>
          <w:sz w:val="32"/>
          <w:szCs w:val="32"/>
        </w:rPr>
        <w:t>-2</w:t>
      </w:r>
    </w:p>
    <w:p w:rsidR="004B123A" w:rsidRPr="00DF1104" w:rsidRDefault="004B123A" w:rsidP="004B123A">
      <w:pPr>
        <w:spacing w:line="520" w:lineRule="exact"/>
        <w:rPr>
          <w:rFonts w:eastAsia="黑体"/>
          <w:sz w:val="32"/>
          <w:szCs w:val="32"/>
        </w:rPr>
      </w:pPr>
    </w:p>
    <w:p w:rsidR="004B123A" w:rsidRDefault="004B123A" w:rsidP="004B123A">
      <w:pPr>
        <w:spacing w:line="520" w:lineRule="exact"/>
        <w:jc w:val="center"/>
        <w:rPr>
          <w:rFonts w:eastAsia="方正小标宋简体"/>
          <w:sz w:val="44"/>
          <w:szCs w:val="44"/>
        </w:rPr>
      </w:pPr>
      <w:r w:rsidRPr="00DF1104">
        <w:rPr>
          <w:rFonts w:eastAsia="方正小标宋简体"/>
          <w:sz w:val="44"/>
          <w:szCs w:val="44"/>
        </w:rPr>
        <w:t>申报产品与目录中已获准境内注册医疗器械对比表</w:t>
      </w:r>
    </w:p>
    <w:p w:rsidR="004B123A" w:rsidRPr="00DF1104" w:rsidRDefault="004B123A" w:rsidP="004B123A">
      <w:pPr>
        <w:spacing w:line="520" w:lineRule="exact"/>
        <w:jc w:val="center"/>
        <w:rPr>
          <w:rFonts w:eastAsia="方正小标宋简体"/>
          <w:sz w:val="44"/>
          <w:szCs w:val="4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245"/>
        <w:gridCol w:w="2580"/>
        <w:gridCol w:w="1389"/>
        <w:gridCol w:w="1134"/>
        <w:gridCol w:w="1559"/>
      </w:tblGrid>
      <w:tr w:rsidR="004B123A" w:rsidRPr="00DF1104" w:rsidTr="00AE411F">
        <w:tc>
          <w:tcPr>
            <w:tcW w:w="2376" w:type="dxa"/>
            <w:vAlign w:val="center"/>
          </w:tcPr>
          <w:p w:rsidR="004B123A" w:rsidRPr="00DF1104" w:rsidRDefault="004B123A" w:rsidP="00AE411F">
            <w:pPr>
              <w:spacing w:line="480" w:lineRule="exact"/>
              <w:rPr>
                <w:rFonts w:eastAsia="仿宋_GB2312"/>
                <w:sz w:val="28"/>
                <w:szCs w:val="28"/>
              </w:rPr>
            </w:pPr>
          </w:p>
        </w:tc>
        <w:tc>
          <w:tcPr>
            <w:tcW w:w="5245"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对比项目</w:t>
            </w:r>
          </w:p>
        </w:tc>
        <w:tc>
          <w:tcPr>
            <w:tcW w:w="2580"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目录中已获准境内注册同类产品</w:t>
            </w:r>
          </w:p>
        </w:tc>
        <w:tc>
          <w:tcPr>
            <w:tcW w:w="1389"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申报产品</w:t>
            </w:r>
          </w:p>
        </w:tc>
        <w:tc>
          <w:tcPr>
            <w:tcW w:w="1134"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差异性</w:t>
            </w:r>
          </w:p>
        </w:tc>
        <w:tc>
          <w:tcPr>
            <w:tcW w:w="1559" w:type="dxa"/>
            <w:vAlign w:val="center"/>
          </w:tcPr>
          <w:p w:rsidR="004B123A" w:rsidRDefault="004B123A" w:rsidP="00AE411F">
            <w:pPr>
              <w:spacing w:line="480" w:lineRule="exact"/>
              <w:jc w:val="center"/>
              <w:rPr>
                <w:rFonts w:eastAsia="黑体"/>
                <w:sz w:val="28"/>
                <w:szCs w:val="28"/>
              </w:rPr>
            </w:pPr>
            <w:r w:rsidRPr="00DF1104">
              <w:rPr>
                <w:rFonts w:eastAsia="黑体"/>
                <w:sz w:val="28"/>
                <w:szCs w:val="28"/>
              </w:rPr>
              <w:t>支持性</w:t>
            </w:r>
          </w:p>
          <w:p w:rsidR="004B123A" w:rsidRPr="00DF1104" w:rsidRDefault="004B123A" w:rsidP="00AE411F">
            <w:pPr>
              <w:spacing w:line="480" w:lineRule="exact"/>
              <w:jc w:val="center"/>
              <w:rPr>
                <w:rFonts w:eastAsia="黑体"/>
                <w:sz w:val="28"/>
                <w:szCs w:val="28"/>
              </w:rPr>
            </w:pPr>
            <w:r w:rsidRPr="00DF1104">
              <w:rPr>
                <w:rFonts w:eastAsia="黑体"/>
                <w:sz w:val="28"/>
                <w:szCs w:val="28"/>
              </w:rPr>
              <w:t>资料概述</w:t>
            </w:r>
          </w:p>
        </w:tc>
      </w:tr>
      <w:tr w:rsidR="004B123A" w:rsidRPr="00DF1104" w:rsidTr="00AE411F">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工作原理</w:t>
            </w:r>
          </w:p>
        </w:tc>
        <w:tc>
          <w:tcPr>
            <w:tcW w:w="5245" w:type="dxa"/>
            <w:vAlign w:val="center"/>
          </w:tcPr>
          <w:p w:rsidR="004B123A" w:rsidRPr="00DF1104" w:rsidRDefault="004B123A" w:rsidP="00AE411F">
            <w:pPr>
              <w:spacing w:line="480" w:lineRule="exact"/>
              <w:rPr>
                <w:rFonts w:eastAsia="仿宋_GB2312"/>
                <w:sz w:val="28"/>
                <w:szCs w:val="28"/>
              </w:rPr>
            </w:pPr>
            <w:r w:rsidRPr="00DF1104">
              <w:rPr>
                <w:rFonts w:eastAsia="仿宋_GB2312"/>
                <w:sz w:val="28"/>
                <w:szCs w:val="28"/>
              </w:rPr>
              <w:t>1.</w:t>
            </w:r>
            <w:r w:rsidRPr="00DF1104">
              <w:rPr>
                <w:rFonts w:eastAsia="仿宋_GB2312"/>
                <w:sz w:val="28"/>
                <w:szCs w:val="28"/>
              </w:rPr>
              <w:t>化学发光反应类型。</w:t>
            </w:r>
          </w:p>
          <w:p w:rsidR="004B123A" w:rsidRPr="00DF1104" w:rsidRDefault="004B123A" w:rsidP="00AE411F">
            <w:pPr>
              <w:spacing w:line="480" w:lineRule="exact"/>
              <w:rPr>
                <w:rFonts w:eastAsia="仿宋_GB2312"/>
                <w:sz w:val="28"/>
                <w:szCs w:val="28"/>
              </w:rPr>
            </w:pPr>
            <w:r w:rsidRPr="00DF1104">
              <w:rPr>
                <w:rFonts w:eastAsia="仿宋_GB2312"/>
                <w:sz w:val="28"/>
                <w:szCs w:val="28"/>
              </w:rPr>
              <w:t>2.</w:t>
            </w:r>
            <w:r w:rsidRPr="00DF1104">
              <w:rPr>
                <w:rFonts w:eastAsia="仿宋_GB2312"/>
                <w:sz w:val="28"/>
                <w:szCs w:val="28"/>
              </w:rPr>
              <w:t>免疫反应模式。</w:t>
            </w:r>
          </w:p>
          <w:p w:rsidR="004B123A" w:rsidRPr="00DF1104" w:rsidRDefault="004B123A" w:rsidP="00AE411F">
            <w:pPr>
              <w:spacing w:line="480" w:lineRule="exact"/>
              <w:rPr>
                <w:rFonts w:eastAsia="仿宋_GB2312"/>
                <w:sz w:val="28"/>
                <w:szCs w:val="28"/>
              </w:rPr>
            </w:pPr>
            <w:r w:rsidRPr="00DF1104">
              <w:rPr>
                <w:rFonts w:eastAsia="仿宋_GB2312"/>
                <w:sz w:val="28"/>
                <w:szCs w:val="28"/>
              </w:rPr>
              <w:t>3.</w:t>
            </w:r>
            <w:r w:rsidRPr="00DF1104">
              <w:rPr>
                <w:rFonts w:eastAsia="仿宋_GB2312"/>
                <w:sz w:val="28"/>
                <w:szCs w:val="28"/>
              </w:rPr>
              <w:t>光信号与分析物浓度的关系。</w:t>
            </w: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rPr>
          <w:trHeight w:val="519"/>
        </w:trPr>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结构组成</w:t>
            </w:r>
          </w:p>
        </w:tc>
        <w:tc>
          <w:tcPr>
            <w:tcW w:w="5245" w:type="dxa"/>
            <w:vAlign w:val="center"/>
          </w:tcPr>
          <w:p w:rsidR="004B123A" w:rsidRPr="00DF1104" w:rsidRDefault="004B123A" w:rsidP="00AE411F">
            <w:pPr>
              <w:spacing w:line="480" w:lineRule="exact"/>
              <w:rPr>
                <w:rFonts w:eastAsia="仿宋_GB2312"/>
                <w:sz w:val="28"/>
                <w:szCs w:val="28"/>
              </w:rPr>
            </w:pPr>
            <w:r w:rsidRPr="00DF1104">
              <w:rPr>
                <w:rFonts w:eastAsia="仿宋_GB2312"/>
                <w:sz w:val="28"/>
                <w:szCs w:val="28"/>
              </w:rPr>
              <w:t>根据申报产品具体情况，写明组成模块。</w:t>
            </w: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性能要求</w:t>
            </w:r>
          </w:p>
        </w:tc>
        <w:tc>
          <w:tcPr>
            <w:tcW w:w="5245" w:type="dxa"/>
            <w:vAlign w:val="center"/>
          </w:tcPr>
          <w:p w:rsidR="004B123A" w:rsidRPr="00DF1104" w:rsidRDefault="004B123A" w:rsidP="00AE411F">
            <w:pPr>
              <w:spacing w:line="480" w:lineRule="exact"/>
              <w:rPr>
                <w:rFonts w:eastAsia="仿宋_GB2312"/>
                <w:sz w:val="28"/>
                <w:szCs w:val="28"/>
              </w:rPr>
            </w:pPr>
            <w:r w:rsidRPr="00DF1104">
              <w:rPr>
                <w:rFonts w:eastAsia="仿宋_GB2312"/>
                <w:sz w:val="28"/>
                <w:szCs w:val="28"/>
              </w:rPr>
              <w:t>参照行业标准</w:t>
            </w:r>
            <w:r w:rsidRPr="00DF1104">
              <w:rPr>
                <w:rFonts w:eastAsia="仿宋_GB2312"/>
                <w:sz w:val="28"/>
                <w:szCs w:val="28"/>
              </w:rPr>
              <w:t>YY/T 1155</w:t>
            </w:r>
            <w:r w:rsidRPr="00DF1104">
              <w:rPr>
                <w:rFonts w:eastAsia="仿宋_GB2312"/>
                <w:sz w:val="28"/>
                <w:szCs w:val="28"/>
              </w:rPr>
              <w:t>的指标要求，逐项进行比较。</w:t>
            </w: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rPr>
          <w:trHeight w:val="419"/>
        </w:trPr>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软件核心功能</w:t>
            </w:r>
          </w:p>
        </w:tc>
        <w:tc>
          <w:tcPr>
            <w:tcW w:w="5245" w:type="dxa"/>
            <w:vAlign w:val="center"/>
          </w:tcPr>
          <w:p w:rsidR="004B123A" w:rsidRPr="00DF1104" w:rsidRDefault="004B123A" w:rsidP="00AE411F">
            <w:pPr>
              <w:spacing w:line="480" w:lineRule="exact"/>
              <w:rPr>
                <w:rFonts w:eastAsia="仿宋_GB2312"/>
                <w:sz w:val="28"/>
                <w:szCs w:val="28"/>
              </w:rPr>
            </w:pP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产品符合的国家</w:t>
            </w:r>
            <w:r w:rsidRPr="00DF1104">
              <w:rPr>
                <w:rFonts w:eastAsia="黑体"/>
                <w:sz w:val="28"/>
                <w:szCs w:val="28"/>
              </w:rPr>
              <w:t>/</w:t>
            </w:r>
            <w:r w:rsidRPr="00DF1104">
              <w:rPr>
                <w:rFonts w:eastAsia="黑体"/>
                <w:sz w:val="28"/>
                <w:szCs w:val="28"/>
              </w:rPr>
              <w:t>行业标准</w:t>
            </w:r>
          </w:p>
        </w:tc>
        <w:tc>
          <w:tcPr>
            <w:tcW w:w="5245" w:type="dxa"/>
            <w:vAlign w:val="center"/>
          </w:tcPr>
          <w:p w:rsidR="004B123A" w:rsidRPr="00DF1104" w:rsidRDefault="004B123A" w:rsidP="00AE411F">
            <w:pPr>
              <w:spacing w:line="480" w:lineRule="exact"/>
              <w:rPr>
                <w:rFonts w:eastAsia="仿宋_GB2312"/>
                <w:sz w:val="28"/>
                <w:szCs w:val="28"/>
              </w:rPr>
            </w:pP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rPr>
          <w:trHeight w:val="408"/>
        </w:trPr>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适用范围</w:t>
            </w:r>
          </w:p>
        </w:tc>
        <w:tc>
          <w:tcPr>
            <w:tcW w:w="5245" w:type="dxa"/>
            <w:vAlign w:val="center"/>
          </w:tcPr>
          <w:p w:rsidR="004B123A" w:rsidRPr="00DF1104" w:rsidRDefault="004B123A" w:rsidP="00AE411F">
            <w:pPr>
              <w:spacing w:line="480" w:lineRule="exact"/>
              <w:rPr>
                <w:rFonts w:eastAsia="仿宋_GB2312"/>
                <w:sz w:val="28"/>
                <w:szCs w:val="28"/>
              </w:rPr>
            </w:pPr>
            <w:r w:rsidRPr="00DF1104">
              <w:rPr>
                <w:rFonts w:eastAsia="仿宋_GB2312"/>
                <w:sz w:val="28"/>
                <w:szCs w:val="28"/>
              </w:rPr>
              <w:t>样本类型、被分析物类型</w:t>
            </w: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r w:rsidR="004B123A" w:rsidRPr="00DF1104" w:rsidTr="00AE411F">
        <w:trPr>
          <w:trHeight w:val="475"/>
        </w:trPr>
        <w:tc>
          <w:tcPr>
            <w:tcW w:w="2376" w:type="dxa"/>
            <w:vAlign w:val="center"/>
          </w:tcPr>
          <w:p w:rsidR="004B123A" w:rsidRPr="00DF1104" w:rsidRDefault="004B123A" w:rsidP="00AE411F">
            <w:pPr>
              <w:spacing w:line="480" w:lineRule="exact"/>
              <w:jc w:val="center"/>
              <w:rPr>
                <w:rFonts w:eastAsia="黑体"/>
                <w:sz w:val="28"/>
                <w:szCs w:val="28"/>
              </w:rPr>
            </w:pPr>
            <w:r w:rsidRPr="00DF1104">
              <w:rPr>
                <w:rFonts w:eastAsia="黑体"/>
                <w:sz w:val="28"/>
                <w:szCs w:val="28"/>
              </w:rPr>
              <w:t>使用方法</w:t>
            </w:r>
          </w:p>
        </w:tc>
        <w:tc>
          <w:tcPr>
            <w:tcW w:w="5245" w:type="dxa"/>
            <w:vAlign w:val="center"/>
          </w:tcPr>
          <w:p w:rsidR="004B123A" w:rsidRPr="00DF1104" w:rsidRDefault="004B123A" w:rsidP="00AE411F">
            <w:pPr>
              <w:spacing w:line="480" w:lineRule="exact"/>
              <w:rPr>
                <w:rFonts w:eastAsia="仿宋_GB2312"/>
                <w:sz w:val="28"/>
                <w:szCs w:val="28"/>
              </w:rPr>
            </w:pPr>
            <w:r w:rsidRPr="00DF1104">
              <w:rPr>
                <w:rFonts w:eastAsia="仿宋_GB2312"/>
                <w:sz w:val="28"/>
                <w:szCs w:val="28"/>
              </w:rPr>
              <w:t>工作环境、操作人员要求等</w:t>
            </w:r>
          </w:p>
        </w:tc>
        <w:tc>
          <w:tcPr>
            <w:tcW w:w="2580" w:type="dxa"/>
            <w:vAlign w:val="center"/>
          </w:tcPr>
          <w:p w:rsidR="004B123A" w:rsidRPr="00DF1104" w:rsidRDefault="004B123A" w:rsidP="00AE411F">
            <w:pPr>
              <w:spacing w:line="480" w:lineRule="exact"/>
              <w:rPr>
                <w:rFonts w:eastAsia="仿宋_GB2312"/>
                <w:sz w:val="28"/>
                <w:szCs w:val="28"/>
              </w:rPr>
            </w:pPr>
          </w:p>
        </w:tc>
        <w:tc>
          <w:tcPr>
            <w:tcW w:w="1389" w:type="dxa"/>
            <w:vAlign w:val="center"/>
          </w:tcPr>
          <w:p w:rsidR="004B123A" w:rsidRPr="00DF1104" w:rsidRDefault="004B123A" w:rsidP="00AE411F">
            <w:pPr>
              <w:spacing w:line="480" w:lineRule="exact"/>
              <w:rPr>
                <w:rFonts w:eastAsia="仿宋_GB2312"/>
                <w:sz w:val="28"/>
                <w:szCs w:val="28"/>
              </w:rPr>
            </w:pPr>
          </w:p>
        </w:tc>
        <w:tc>
          <w:tcPr>
            <w:tcW w:w="1134" w:type="dxa"/>
            <w:vAlign w:val="center"/>
          </w:tcPr>
          <w:p w:rsidR="004B123A" w:rsidRPr="00DF1104" w:rsidRDefault="004B123A" w:rsidP="00AE411F">
            <w:pPr>
              <w:spacing w:line="480" w:lineRule="exact"/>
              <w:rPr>
                <w:rFonts w:eastAsia="仿宋_GB2312"/>
                <w:sz w:val="28"/>
                <w:szCs w:val="28"/>
              </w:rPr>
            </w:pPr>
          </w:p>
        </w:tc>
        <w:tc>
          <w:tcPr>
            <w:tcW w:w="1559" w:type="dxa"/>
            <w:vAlign w:val="center"/>
          </w:tcPr>
          <w:p w:rsidR="004B123A" w:rsidRPr="00DF1104" w:rsidRDefault="004B123A" w:rsidP="00AE411F">
            <w:pPr>
              <w:spacing w:line="480" w:lineRule="exact"/>
              <w:rPr>
                <w:rFonts w:eastAsia="仿宋_GB2312"/>
                <w:sz w:val="28"/>
                <w:szCs w:val="28"/>
              </w:rPr>
            </w:pPr>
          </w:p>
        </w:tc>
      </w:tr>
    </w:tbl>
    <w:p w:rsidR="004B123A" w:rsidRPr="00DF1104" w:rsidRDefault="004B123A" w:rsidP="004B123A">
      <w:pPr>
        <w:spacing w:line="520" w:lineRule="exact"/>
        <w:rPr>
          <w:rFonts w:eastAsia="仿宋_GB2312"/>
          <w:sz w:val="32"/>
          <w:szCs w:val="32"/>
        </w:rPr>
        <w:sectPr w:rsidR="004B123A" w:rsidRPr="00DF1104" w:rsidSect="00866BF0">
          <w:pgSz w:w="16838" w:h="11906" w:orient="landscape"/>
          <w:pgMar w:top="1474" w:right="1440" w:bottom="1588" w:left="1440" w:header="851" w:footer="992" w:gutter="0"/>
          <w:cols w:space="425"/>
          <w:docGrid w:type="lines" w:linePitch="312"/>
        </w:sectPr>
      </w:pPr>
    </w:p>
    <w:p w:rsidR="00373C5F" w:rsidRPr="004B123A" w:rsidRDefault="00373C5F" w:rsidP="004B123A">
      <w:bookmarkStart w:id="10" w:name="_GoBack"/>
      <w:bookmarkEnd w:id="10"/>
    </w:p>
    <w:sectPr w:rsidR="00373C5F" w:rsidRPr="004B123A">
      <w:footerReference w:type="even" r:id="rId10"/>
      <w:footerReference w:type="default" r:id="rId11"/>
      <w:pgSz w:w="16838" w:h="11906" w:orient="landscape"/>
      <w:pgMar w:top="1474" w:right="1440" w:bottom="1588"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D79" w:rsidRDefault="00B60D79">
      <w:r>
        <w:separator/>
      </w:r>
    </w:p>
  </w:endnote>
  <w:endnote w:type="continuationSeparator" w:id="0">
    <w:p w:rsidR="00B60D79" w:rsidRDefault="00B6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60407"/>
      <w:docPartObj>
        <w:docPartGallery w:val="Page Numbers (Bottom of Page)"/>
        <w:docPartUnique/>
      </w:docPartObj>
    </w:sdtPr>
    <w:sdtEndPr>
      <w:rPr>
        <w:sz w:val="28"/>
        <w:szCs w:val="28"/>
      </w:rPr>
    </w:sdtEndPr>
    <w:sdtContent>
      <w:p w:rsidR="004B123A" w:rsidRPr="00860D78" w:rsidRDefault="004B123A" w:rsidP="004B123A">
        <w:pPr>
          <w:pStyle w:val="a9"/>
          <w:numPr>
            <w:ilvl w:val="0"/>
            <w:numId w:val="4"/>
          </w:numPr>
          <w:rPr>
            <w:sz w:val="28"/>
            <w:szCs w:val="28"/>
          </w:rPr>
        </w:pPr>
        <w:r w:rsidRPr="0061625D">
          <w:rPr>
            <w:sz w:val="28"/>
            <w:szCs w:val="28"/>
          </w:rPr>
          <w:fldChar w:fldCharType="begin"/>
        </w:r>
        <w:r w:rsidRPr="0061625D">
          <w:rPr>
            <w:sz w:val="28"/>
            <w:szCs w:val="28"/>
          </w:rPr>
          <w:instrText>PAGE   \* MERGEFORMAT</w:instrText>
        </w:r>
        <w:r w:rsidRPr="0061625D">
          <w:rPr>
            <w:sz w:val="28"/>
            <w:szCs w:val="28"/>
          </w:rPr>
          <w:fldChar w:fldCharType="separate"/>
        </w:r>
        <w:r w:rsidRPr="00DA6B5E">
          <w:rPr>
            <w:noProof/>
            <w:sz w:val="28"/>
            <w:szCs w:val="28"/>
            <w:lang w:val="zh-CN"/>
          </w:rPr>
          <w:t>92</w:t>
        </w:r>
        <w:r w:rsidRPr="0061625D">
          <w:rPr>
            <w:sz w:val="28"/>
            <w:szCs w:val="28"/>
          </w:rPr>
          <w:fldChar w:fldCharType="end"/>
        </w:r>
        <w:r w:rsidRPr="00866BF0">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979830"/>
      <w:docPartObj>
        <w:docPartGallery w:val="Page Numbers (Bottom of Page)"/>
        <w:docPartUnique/>
      </w:docPartObj>
    </w:sdtPr>
    <w:sdtEndPr>
      <w:rPr>
        <w:sz w:val="28"/>
        <w:szCs w:val="28"/>
      </w:rPr>
    </w:sdtEndPr>
    <w:sdtContent>
      <w:p w:rsidR="004B123A" w:rsidRPr="0063084F" w:rsidRDefault="004B123A" w:rsidP="004B123A">
        <w:pPr>
          <w:pStyle w:val="a9"/>
          <w:numPr>
            <w:ilvl w:val="0"/>
            <w:numId w:val="3"/>
          </w:numPr>
          <w:jc w:val="right"/>
          <w:rPr>
            <w:sz w:val="28"/>
            <w:szCs w:val="28"/>
          </w:rPr>
        </w:pPr>
        <w:r w:rsidRPr="00866BF0">
          <w:rPr>
            <w:sz w:val="28"/>
            <w:szCs w:val="28"/>
          </w:rPr>
          <w:fldChar w:fldCharType="begin"/>
        </w:r>
        <w:r w:rsidRPr="00866BF0">
          <w:rPr>
            <w:sz w:val="28"/>
            <w:szCs w:val="28"/>
          </w:rPr>
          <w:instrText>PAGE   \* MERGEFORMAT</w:instrText>
        </w:r>
        <w:r w:rsidRPr="00866BF0">
          <w:rPr>
            <w:sz w:val="28"/>
            <w:szCs w:val="28"/>
          </w:rPr>
          <w:fldChar w:fldCharType="separate"/>
        </w:r>
        <w:r>
          <w:rPr>
            <w:noProof/>
            <w:sz w:val="28"/>
            <w:szCs w:val="28"/>
          </w:rPr>
          <w:t>20</w:t>
        </w:r>
        <w:r w:rsidRPr="00866BF0">
          <w:rPr>
            <w:sz w:val="28"/>
            <w:szCs w:val="28"/>
          </w:rPr>
          <w:fldChar w:fldCharType="end"/>
        </w:r>
        <w:r w:rsidRPr="00866BF0">
          <w:rPr>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5F" w:rsidRDefault="00373C5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C5F" w:rsidRDefault="00613331">
    <w:pPr>
      <w:pStyle w:val="a9"/>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73C5F" w:rsidRDefault="00613331">
                          <w:pPr>
                            <w:pStyle w:val="a9"/>
                          </w:pPr>
                          <w:r>
                            <w:fldChar w:fldCharType="begin"/>
                          </w:r>
                          <w:r>
                            <w:instrText xml:space="preserve"> PAGE  \* MERGEFORMAT </w:instrText>
                          </w:r>
                          <w:r>
                            <w:fldChar w:fldCharType="separate"/>
                          </w:r>
                          <w:r w:rsidR="004B123A">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73C5F" w:rsidRDefault="00613331">
                    <w:pPr>
                      <w:pStyle w:val="a9"/>
                    </w:pPr>
                    <w:r>
                      <w:fldChar w:fldCharType="begin"/>
                    </w:r>
                    <w:r>
                      <w:instrText xml:space="preserve"> PAGE  \* MERGEFORMAT </w:instrText>
                    </w:r>
                    <w:r>
                      <w:fldChar w:fldCharType="separate"/>
                    </w:r>
                    <w:r w:rsidR="004B123A">
                      <w:rPr>
                        <w:noProof/>
                      </w:rPr>
                      <w:t>- 21 -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D79" w:rsidRDefault="00B60D79">
      <w:r>
        <w:separator/>
      </w:r>
    </w:p>
  </w:footnote>
  <w:footnote w:type="continuationSeparator" w:id="0">
    <w:p w:rsidR="00B60D79" w:rsidRDefault="00B60D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zQ1MzM1N2Y3NWViYzQ1NDdjNWY1MjJkMDhjOTkifQ=="/>
  </w:docVars>
  <w:rsids>
    <w:rsidRoot w:val="00C726A3"/>
    <w:rsid w:val="00005461"/>
    <w:rsid w:val="000F194B"/>
    <w:rsid w:val="00122D35"/>
    <w:rsid w:val="00145467"/>
    <w:rsid w:val="001474B7"/>
    <w:rsid w:val="00236FF0"/>
    <w:rsid w:val="00271A31"/>
    <w:rsid w:val="002B6F53"/>
    <w:rsid w:val="00303201"/>
    <w:rsid w:val="0037331F"/>
    <w:rsid w:val="00373C5F"/>
    <w:rsid w:val="00391DA8"/>
    <w:rsid w:val="004A6FCB"/>
    <w:rsid w:val="004B123A"/>
    <w:rsid w:val="005B3381"/>
    <w:rsid w:val="00613331"/>
    <w:rsid w:val="00797533"/>
    <w:rsid w:val="007B2299"/>
    <w:rsid w:val="007B6337"/>
    <w:rsid w:val="007E1376"/>
    <w:rsid w:val="007E18FF"/>
    <w:rsid w:val="008038AE"/>
    <w:rsid w:val="00851CAC"/>
    <w:rsid w:val="008C0CC5"/>
    <w:rsid w:val="0099174A"/>
    <w:rsid w:val="009B6A39"/>
    <w:rsid w:val="00A135EF"/>
    <w:rsid w:val="00A50F47"/>
    <w:rsid w:val="00A9738F"/>
    <w:rsid w:val="00AB7A9B"/>
    <w:rsid w:val="00AE18F6"/>
    <w:rsid w:val="00B36F67"/>
    <w:rsid w:val="00B60D79"/>
    <w:rsid w:val="00BD17CB"/>
    <w:rsid w:val="00BF5A54"/>
    <w:rsid w:val="00C636EB"/>
    <w:rsid w:val="00C726A3"/>
    <w:rsid w:val="00D06962"/>
    <w:rsid w:val="00D64AE1"/>
    <w:rsid w:val="00DD38B0"/>
    <w:rsid w:val="00E0648B"/>
    <w:rsid w:val="00E606FF"/>
    <w:rsid w:val="00E736CD"/>
    <w:rsid w:val="00ED6BAB"/>
    <w:rsid w:val="00EF1900"/>
    <w:rsid w:val="00FF4E7F"/>
    <w:rsid w:val="010C11C9"/>
    <w:rsid w:val="011473B7"/>
    <w:rsid w:val="01400398"/>
    <w:rsid w:val="015500B5"/>
    <w:rsid w:val="019422A6"/>
    <w:rsid w:val="01B44308"/>
    <w:rsid w:val="02D87376"/>
    <w:rsid w:val="02E80C68"/>
    <w:rsid w:val="03200295"/>
    <w:rsid w:val="03457CFC"/>
    <w:rsid w:val="038A1E69"/>
    <w:rsid w:val="03E13EF3"/>
    <w:rsid w:val="046C373A"/>
    <w:rsid w:val="05131314"/>
    <w:rsid w:val="053578FC"/>
    <w:rsid w:val="05BF76B4"/>
    <w:rsid w:val="0620680F"/>
    <w:rsid w:val="065E2443"/>
    <w:rsid w:val="07107CD6"/>
    <w:rsid w:val="08254DC3"/>
    <w:rsid w:val="08C02A36"/>
    <w:rsid w:val="08C37F22"/>
    <w:rsid w:val="09175C96"/>
    <w:rsid w:val="091E5277"/>
    <w:rsid w:val="0A342878"/>
    <w:rsid w:val="0AA7304A"/>
    <w:rsid w:val="0B187AA4"/>
    <w:rsid w:val="0C126BE9"/>
    <w:rsid w:val="0D156991"/>
    <w:rsid w:val="0D3A1F53"/>
    <w:rsid w:val="0DEF3649"/>
    <w:rsid w:val="0DFE4D94"/>
    <w:rsid w:val="0E5232CD"/>
    <w:rsid w:val="0F7C24AA"/>
    <w:rsid w:val="1001144E"/>
    <w:rsid w:val="10703EDE"/>
    <w:rsid w:val="11042690"/>
    <w:rsid w:val="111E2F24"/>
    <w:rsid w:val="114E78F4"/>
    <w:rsid w:val="118045F5"/>
    <w:rsid w:val="12312806"/>
    <w:rsid w:val="13871C6A"/>
    <w:rsid w:val="14204272"/>
    <w:rsid w:val="144813FA"/>
    <w:rsid w:val="14575AE1"/>
    <w:rsid w:val="147A583A"/>
    <w:rsid w:val="15113EE2"/>
    <w:rsid w:val="15791A87"/>
    <w:rsid w:val="157E577E"/>
    <w:rsid w:val="163F05DA"/>
    <w:rsid w:val="16495F7D"/>
    <w:rsid w:val="165226B5"/>
    <w:rsid w:val="16AD056F"/>
    <w:rsid w:val="170D06E0"/>
    <w:rsid w:val="17143815"/>
    <w:rsid w:val="17740758"/>
    <w:rsid w:val="17C50FB3"/>
    <w:rsid w:val="183208FE"/>
    <w:rsid w:val="18B708FC"/>
    <w:rsid w:val="18E436BB"/>
    <w:rsid w:val="1A2E32EF"/>
    <w:rsid w:val="1AF23E6D"/>
    <w:rsid w:val="1B556DA2"/>
    <w:rsid w:val="1BA535D6"/>
    <w:rsid w:val="1BBF7C5E"/>
    <w:rsid w:val="1C183B46"/>
    <w:rsid w:val="1C2E0728"/>
    <w:rsid w:val="1C391B7E"/>
    <w:rsid w:val="1C3D380E"/>
    <w:rsid w:val="1C6963B1"/>
    <w:rsid w:val="1CF2104E"/>
    <w:rsid w:val="1D285CB5"/>
    <w:rsid w:val="1D900790"/>
    <w:rsid w:val="1DAB3567"/>
    <w:rsid w:val="1E3B50FC"/>
    <w:rsid w:val="1E6E4153"/>
    <w:rsid w:val="1E780B2E"/>
    <w:rsid w:val="1F733D20"/>
    <w:rsid w:val="2016409F"/>
    <w:rsid w:val="20CE0ED9"/>
    <w:rsid w:val="23303358"/>
    <w:rsid w:val="23312A20"/>
    <w:rsid w:val="236B2A0F"/>
    <w:rsid w:val="23A221A9"/>
    <w:rsid w:val="24172581"/>
    <w:rsid w:val="246A0044"/>
    <w:rsid w:val="249C4E4A"/>
    <w:rsid w:val="25273966"/>
    <w:rsid w:val="25401C79"/>
    <w:rsid w:val="25525847"/>
    <w:rsid w:val="256A2E1E"/>
    <w:rsid w:val="26313084"/>
    <w:rsid w:val="267F5282"/>
    <w:rsid w:val="26881B2A"/>
    <w:rsid w:val="268B6FC8"/>
    <w:rsid w:val="26B3510E"/>
    <w:rsid w:val="26D94133"/>
    <w:rsid w:val="272D460D"/>
    <w:rsid w:val="275D3E3F"/>
    <w:rsid w:val="27BB1A8B"/>
    <w:rsid w:val="27BD1CA7"/>
    <w:rsid w:val="287A1946"/>
    <w:rsid w:val="28945A4B"/>
    <w:rsid w:val="289724F8"/>
    <w:rsid w:val="291800E1"/>
    <w:rsid w:val="29AE0C5F"/>
    <w:rsid w:val="29CB572B"/>
    <w:rsid w:val="2A013D2B"/>
    <w:rsid w:val="2A2B739C"/>
    <w:rsid w:val="2A3B6E4A"/>
    <w:rsid w:val="2A733891"/>
    <w:rsid w:val="2A9134EC"/>
    <w:rsid w:val="2AC25C7B"/>
    <w:rsid w:val="2ADC41F2"/>
    <w:rsid w:val="2B1C3740"/>
    <w:rsid w:val="2B255B99"/>
    <w:rsid w:val="2BD15D21"/>
    <w:rsid w:val="2C0D087E"/>
    <w:rsid w:val="2CDB1327"/>
    <w:rsid w:val="2D595C64"/>
    <w:rsid w:val="2D7050C6"/>
    <w:rsid w:val="2D727090"/>
    <w:rsid w:val="2D7C3A6A"/>
    <w:rsid w:val="2DED6716"/>
    <w:rsid w:val="2E9372BE"/>
    <w:rsid w:val="2ECB2366"/>
    <w:rsid w:val="2EF75A9F"/>
    <w:rsid w:val="2F2F553C"/>
    <w:rsid w:val="2F4D3910"/>
    <w:rsid w:val="2F703D47"/>
    <w:rsid w:val="30362FA3"/>
    <w:rsid w:val="30E15FD8"/>
    <w:rsid w:val="312F769E"/>
    <w:rsid w:val="326954EA"/>
    <w:rsid w:val="330F6957"/>
    <w:rsid w:val="34CC52D7"/>
    <w:rsid w:val="35134CB4"/>
    <w:rsid w:val="354E2190"/>
    <w:rsid w:val="35611EC4"/>
    <w:rsid w:val="359758E5"/>
    <w:rsid w:val="35CF0B72"/>
    <w:rsid w:val="37387E37"/>
    <w:rsid w:val="378123A9"/>
    <w:rsid w:val="37920A5A"/>
    <w:rsid w:val="380755BE"/>
    <w:rsid w:val="3A00305C"/>
    <w:rsid w:val="3A573895"/>
    <w:rsid w:val="3B286FE0"/>
    <w:rsid w:val="3BE402BD"/>
    <w:rsid w:val="3C3711A0"/>
    <w:rsid w:val="3DB01748"/>
    <w:rsid w:val="3E612F34"/>
    <w:rsid w:val="3E7A5DA4"/>
    <w:rsid w:val="3E7E7642"/>
    <w:rsid w:val="3E8C212D"/>
    <w:rsid w:val="3F184C93"/>
    <w:rsid w:val="3F3441A5"/>
    <w:rsid w:val="3F7B726F"/>
    <w:rsid w:val="3FA4094A"/>
    <w:rsid w:val="40125E78"/>
    <w:rsid w:val="406A7371"/>
    <w:rsid w:val="4099578D"/>
    <w:rsid w:val="41270465"/>
    <w:rsid w:val="425132C0"/>
    <w:rsid w:val="42C6222B"/>
    <w:rsid w:val="43065E58"/>
    <w:rsid w:val="43672D9B"/>
    <w:rsid w:val="445175A7"/>
    <w:rsid w:val="44A8440D"/>
    <w:rsid w:val="45565EF3"/>
    <w:rsid w:val="466C691A"/>
    <w:rsid w:val="474451A1"/>
    <w:rsid w:val="47777325"/>
    <w:rsid w:val="4804399B"/>
    <w:rsid w:val="4812685A"/>
    <w:rsid w:val="48580F04"/>
    <w:rsid w:val="48825891"/>
    <w:rsid w:val="49431BB4"/>
    <w:rsid w:val="494F7B2B"/>
    <w:rsid w:val="49856644"/>
    <w:rsid w:val="499C12C5"/>
    <w:rsid w:val="49BD0761"/>
    <w:rsid w:val="4A0250DD"/>
    <w:rsid w:val="4AA7028D"/>
    <w:rsid w:val="4AB56AE2"/>
    <w:rsid w:val="4B3B68BB"/>
    <w:rsid w:val="4B9009B5"/>
    <w:rsid w:val="4C3C0B3D"/>
    <w:rsid w:val="4C582666"/>
    <w:rsid w:val="4C6C3961"/>
    <w:rsid w:val="4C776080"/>
    <w:rsid w:val="4CB46925"/>
    <w:rsid w:val="4CCD186E"/>
    <w:rsid w:val="4CE216E4"/>
    <w:rsid w:val="4D0C050F"/>
    <w:rsid w:val="4D39629D"/>
    <w:rsid w:val="4D5015E7"/>
    <w:rsid w:val="4DD3545F"/>
    <w:rsid w:val="4E77005B"/>
    <w:rsid w:val="4ED223D5"/>
    <w:rsid w:val="51046B15"/>
    <w:rsid w:val="510A2FB8"/>
    <w:rsid w:val="510C409B"/>
    <w:rsid w:val="514F4E6E"/>
    <w:rsid w:val="51BB2504"/>
    <w:rsid w:val="52567651"/>
    <w:rsid w:val="529965F8"/>
    <w:rsid w:val="53226043"/>
    <w:rsid w:val="53412817"/>
    <w:rsid w:val="54A13C33"/>
    <w:rsid w:val="550F781D"/>
    <w:rsid w:val="55C53951"/>
    <w:rsid w:val="56382375"/>
    <w:rsid w:val="57231A02"/>
    <w:rsid w:val="57CB551D"/>
    <w:rsid w:val="586819A7"/>
    <w:rsid w:val="5A0B4631"/>
    <w:rsid w:val="5BBF2705"/>
    <w:rsid w:val="5BF31218"/>
    <w:rsid w:val="5C0C052C"/>
    <w:rsid w:val="5C163158"/>
    <w:rsid w:val="5C732359"/>
    <w:rsid w:val="5E2002BE"/>
    <w:rsid w:val="5E27164D"/>
    <w:rsid w:val="5E4105E7"/>
    <w:rsid w:val="5F557359"/>
    <w:rsid w:val="5FDD6DAE"/>
    <w:rsid w:val="600503C7"/>
    <w:rsid w:val="601856F1"/>
    <w:rsid w:val="60234096"/>
    <w:rsid w:val="60BC388F"/>
    <w:rsid w:val="610C3029"/>
    <w:rsid w:val="6210426E"/>
    <w:rsid w:val="62626B0C"/>
    <w:rsid w:val="626F590C"/>
    <w:rsid w:val="629B47A3"/>
    <w:rsid w:val="62A50D92"/>
    <w:rsid w:val="63FB55BB"/>
    <w:rsid w:val="648669A1"/>
    <w:rsid w:val="64B20B3E"/>
    <w:rsid w:val="651E4C38"/>
    <w:rsid w:val="65372C0E"/>
    <w:rsid w:val="656136E1"/>
    <w:rsid w:val="65C05B5D"/>
    <w:rsid w:val="65C75029"/>
    <w:rsid w:val="663E7534"/>
    <w:rsid w:val="678F1183"/>
    <w:rsid w:val="67925F28"/>
    <w:rsid w:val="67E85616"/>
    <w:rsid w:val="681D761D"/>
    <w:rsid w:val="682D5AB2"/>
    <w:rsid w:val="684A6664"/>
    <w:rsid w:val="685D0B2B"/>
    <w:rsid w:val="68CF4DBB"/>
    <w:rsid w:val="699A71FC"/>
    <w:rsid w:val="69BF6BDD"/>
    <w:rsid w:val="6ADB7A47"/>
    <w:rsid w:val="6AF1726A"/>
    <w:rsid w:val="6B2A62D8"/>
    <w:rsid w:val="6C176058"/>
    <w:rsid w:val="6C2B2308"/>
    <w:rsid w:val="6C643A6C"/>
    <w:rsid w:val="6C9003BD"/>
    <w:rsid w:val="6CDC1854"/>
    <w:rsid w:val="6D785A21"/>
    <w:rsid w:val="6E425AE3"/>
    <w:rsid w:val="6F1928EC"/>
    <w:rsid w:val="6F993A2D"/>
    <w:rsid w:val="6FC52707"/>
    <w:rsid w:val="6FDD7DBD"/>
    <w:rsid w:val="701632CF"/>
    <w:rsid w:val="70207CAA"/>
    <w:rsid w:val="71153587"/>
    <w:rsid w:val="715E0A8A"/>
    <w:rsid w:val="71783B5E"/>
    <w:rsid w:val="71B20DD6"/>
    <w:rsid w:val="72440A0B"/>
    <w:rsid w:val="72DD43BE"/>
    <w:rsid w:val="7309711B"/>
    <w:rsid w:val="73D50AB3"/>
    <w:rsid w:val="73E63D64"/>
    <w:rsid w:val="74024296"/>
    <w:rsid w:val="744D0FEF"/>
    <w:rsid w:val="750B0F29"/>
    <w:rsid w:val="751A1A55"/>
    <w:rsid w:val="76654669"/>
    <w:rsid w:val="76A01B45"/>
    <w:rsid w:val="76C467CF"/>
    <w:rsid w:val="776D5ECB"/>
    <w:rsid w:val="778D20C9"/>
    <w:rsid w:val="78EC72C3"/>
    <w:rsid w:val="791F7A1F"/>
    <w:rsid w:val="79C97604"/>
    <w:rsid w:val="7A342AA4"/>
    <w:rsid w:val="7A3507F6"/>
    <w:rsid w:val="7AD149C3"/>
    <w:rsid w:val="7B9D0BEA"/>
    <w:rsid w:val="7BC76257"/>
    <w:rsid w:val="7BF36B62"/>
    <w:rsid w:val="7C030BAC"/>
    <w:rsid w:val="7C2D79D7"/>
    <w:rsid w:val="7CA64316"/>
    <w:rsid w:val="7CC20800"/>
    <w:rsid w:val="7CD20E90"/>
    <w:rsid w:val="7D1C4721"/>
    <w:rsid w:val="7EA907AD"/>
    <w:rsid w:val="7F0D1D41"/>
    <w:rsid w:val="7F1C1F84"/>
    <w:rsid w:val="7F280963"/>
    <w:rsid w:val="7F606315"/>
    <w:rsid w:val="7F6E0A32"/>
    <w:rsid w:val="7F7122D0"/>
    <w:rsid w:val="7FB3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E7C77-C58D-45A9-94AF-14A76C75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unhideWhenUsed/>
    <w:qFormat/>
    <w:pPr>
      <w:jc w:val="left"/>
    </w:pPr>
  </w:style>
  <w:style w:type="paragraph" w:styleId="a7">
    <w:name w:val="Balloon Text"/>
    <w:basedOn w:val="a"/>
    <w:link w:val="a8"/>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paragraph" w:customStyle="1" w:styleId="1">
    <w:name w:val="列出段落1"/>
    <w:basedOn w:val="a"/>
    <w:uiPriority w:val="34"/>
    <w:qFormat/>
    <w:pPr>
      <w:ind w:firstLineChars="200" w:firstLine="420"/>
    </w:pPr>
    <w:rPr>
      <w:rFonts w:ascii="Calibri" w:hAnsi="Calibri" w:cs="黑体"/>
      <w:szCs w:val="22"/>
    </w:rPr>
  </w:style>
  <w:style w:type="paragraph" w:styleId="af3">
    <w:name w:val="List Paragraph"/>
    <w:basedOn w:val="a"/>
    <w:uiPriority w:val="34"/>
    <w:qFormat/>
    <w:pPr>
      <w:ind w:firstLineChars="200" w:firstLine="420"/>
    </w:pPr>
    <w:rPr>
      <w:rFonts w:ascii="Calibri" w:hAnsi="Calibri"/>
      <w:szCs w:val="22"/>
    </w:rPr>
  </w:style>
  <w:style w:type="character" w:customStyle="1" w:styleId="a8">
    <w:name w:val="批注框文本 字符"/>
    <w:basedOn w:val="a0"/>
    <w:link w:val="a7"/>
    <w:qFormat/>
    <w:rPr>
      <w:rFonts w:ascii="Times New Roman" w:eastAsia="宋体" w:hAnsi="Times New Roman" w:cs="Times New Roman"/>
      <w:sz w:val="18"/>
      <w:szCs w:val="18"/>
    </w:rPr>
  </w:style>
  <w:style w:type="paragraph" w:customStyle="1" w:styleId="10">
    <w:name w:val="修订1"/>
    <w:hidden/>
    <w:uiPriority w:val="99"/>
    <w:unhideWhenUsed/>
    <w:qFormat/>
    <w:rPr>
      <w:kern w:val="2"/>
      <w:sz w:val="21"/>
      <w:szCs w:val="24"/>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e">
    <w:name w:val="批注主题 字符"/>
    <w:basedOn w:val="a6"/>
    <w:link w:val="ad"/>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1697</Words>
  <Characters>9677</Characters>
  <Application>Microsoft Office Word</Application>
  <DocSecurity>0</DocSecurity>
  <Lines>80</Lines>
  <Paragraphs>22</Paragraphs>
  <ScaleCrop>false</ScaleCrop>
  <Company>CFDA</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办公室发文</cp:lastModifiedBy>
  <cp:revision>10</cp:revision>
  <cp:lastPrinted>2024-03-22T01:10:00Z</cp:lastPrinted>
  <dcterms:created xsi:type="dcterms:W3CDTF">2023-11-08T07:17:00Z</dcterms:created>
  <dcterms:modified xsi:type="dcterms:W3CDTF">2025-03-31T03:09:00Z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09BA5E2BCB2D44CABB9C830077D03ED4_13</vt:lpwstr>
  </property>
</Properties>
</file>