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7C7" w:rsidRPr="00640B84" w:rsidRDefault="00B777C7" w:rsidP="00B777C7">
      <w:pPr>
        <w:spacing w:line="520" w:lineRule="exact"/>
        <w:rPr>
          <w:rFonts w:eastAsia="黑体"/>
          <w:sz w:val="32"/>
          <w:szCs w:val="32"/>
        </w:rPr>
      </w:pPr>
      <w:r w:rsidRPr="00640B84">
        <w:rPr>
          <w:rFonts w:eastAsia="黑体"/>
          <w:sz w:val="32"/>
          <w:szCs w:val="32"/>
        </w:rPr>
        <w:t>附件</w:t>
      </w:r>
      <w:r w:rsidRPr="00640B84">
        <w:rPr>
          <w:rFonts w:eastAsia="黑体"/>
          <w:sz w:val="32"/>
          <w:szCs w:val="32"/>
        </w:rPr>
        <w:t>7</w:t>
      </w:r>
    </w:p>
    <w:p w:rsidR="00B777C7" w:rsidRPr="00640B84" w:rsidRDefault="00B777C7" w:rsidP="00B777C7">
      <w:pPr>
        <w:spacing w:line="520" w:lineRule="exact"/>
        <w:ind w:firstLineChars="200" w:firstLine="640"/>
        <w:rPr>
          <w:rFonts w:eastAsia="仿宋_GB2312"/>
          <w:sz w:val="32"/>
          <w:szCs w:val="32"/>
        </w:rPr>
      </w:pPr>
    </w:p>
    <w:p w:rsidR="00B777C7" w:rsidRPr="00640B84" w:rsidRDefault="00B777C7" w:rsidP="00B777C7">
      <w:pPr>
        <w:spacing w:line="520" w:lineRule="exact"/>
        <w:jc w:val="center"/>
        <w:rPr>
          <w:rFonts w:eastAsia="方正小标宋简体"/>
          <w:sz w:val="44"/>
          <w:szCs w:val="44"/>
        </w:rPr>
      </w:pPr>
      <w:r w:rsidRPr="00640B84">
        <w:rPr>
          <w:rFonts w:eastAsia="方正小标宋简体"/>
          <w:sz w:val="44"/>
          <w:szCs w:val="44"/>
        </w:rPr>
        <w:t>胸骨捆扎固定系统注册审查指导原则</w:t>
      </w:r>
    </w:p>
    <w:p w:rsidR="00B777C7" w:rsidRPr="00640B84" w:rsidRDefault="00B777C7" w:rsidP="00B777C7">
      <w:pPr>
        <w:spacing w:line="520" w:lineRule="exact"/>
        <w:ind w:firstLineChars="200" w:firstLine="640"/>
        <w:rPr>
          <w:rFonts w:eastAsia="仿宋_GB2312"/>
          <w:sz w:val="32"/>
          <w:szCs w:val="32"/>
        </w:rPr>
      </w:pP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本指导原则旨在指导注册申请人对胸骨捆扎固定系统注册申报资料的准备及撰写，同时也为技术审评部门对注册申报资料的审评提供参考。</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本指导原则是对胸骨捆扎固定系统注册申报资料的一般要求，注册申请人需依据产品的具体特性确定其中内容是否适用。若不适用，需具体阐述理由及相应的科学依据，并依据产品的具体特性对注册申报资料的内容进行充实和细化。</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本指导原则是在现行法规和标准体系以及当前认知水平下制定的，随着法规和标准的不断更新与完善，以及科学技术的不断发展，相关内容也将适时进行调整。</w:t>
      </w:r>
    </w:p>
    <w:p w:rsidR="00B777C7" w:rsidRPr="00640B84" w:rsidRDefault="00B777C7" w:rsidP="00B777C7">
      <w:pPr>
        <w:spacing w:line="520" w:lineRule="exact"/>
        <w:ind w:rightChars="-32" w:right="-67" w:firstLineChars="200" w:firstLine="640"/>
        <w:rPr>
          <w:rFonts w:eastAsia="仿宋_GB2312"/>
          <w:sz w:val="32"/>
          <w:szCs w:val="32"/>
        </w:rPr>
      </w:pPr>
      <w:r w:rsidRPr="00640B84">
        <w:rPr>
          <w:rFonts w:eastAsia="黑体"/>
          <w:sz w:val="32"/>
          <w:szCs w:val="32"/>
        </w:rPr>
        <w:t>一、适用范围</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sz w:val="32"/>
          <w:szCs w:val="32"/>
        </w:rPr>
        <w:t>本指导原则适用于开胸术中胸骨固定的胸骨捆扎固定系统，如用于胸骨固定的柔性金属丝（分类编码为</w:t>
      </w:r>
      <w:r w:rsidRPr="00640B84">
        <w:rPr>
          <w:rFonts w:eastAsia="仿宋_GB2312"/>
          <w:sz w:val="32"/>
          <w:szCs w:val="32"/>
        </w:rPr>
        <w:t>13-01-05</w:t>
      </w:r>
      <w:r w:rsidRPr="00640B84">
        <w:rPr>
          <w:rFonts w:eastAsia="仿宋_GB2312"/>
          <w:sz w:val="32"/>
          <w:szCs w:val="32"/>
        </w:rPr>
        <w:t>）、胸骨结扎带（分类编码为</w:t>
      </w:r>
      <w:r w:rsidRPr="00640B84">
        <w:rPr>
          <w:rFonts w:eastAsia="仿宋_GB2312"/>
          <w:sz w:val="32"/>
          <w:szCs w:val="32"/>
        </w:rPr>
        <w:t>13-11-03</w:t>
      </w:r>
      <w:r w:rsidRPr="00640B84">
        <w:rPr>
          <w:rFonts w:eastAsia="仿宋_GB2312"/>
          <w:sz w:val="32"/>
          <w:szCs w:val="32"/>
        </w:rPr>
        <w:t>）等。产品通常由植入部分和非植入部分组成，通常由钛合金材料、不锈钢材料和聚</w:t>
      </w:r>
      <w:r w:rsidRPr="00640B84">
        <w:rPr>
          <w:rFonts w:eastAsia="仿宋_GB2312"/>
          <w:sz w:val="32"/>
          <w:szCs w:val="32"/>
        </w:rPr>
        <w:lastRenderedPageBreak/>
        <w:t>醚醚酮材料制成。本指导原则不适用于四肢骨折捆扎器械，也不适用于由可吸收材料制成的胸骨捆扎固定系统，但可根据产品的具体设计原理、结构特征、生物力学特性及临床使用要求，参考本指导原则中适用的内容。</w:t>
      </w:r>
      <w:r w:rsidRPr="00640B84">
        <w:rPr>
          <w:rFonts w:eastAsia="仿宋_GB2312"/>
          <w:kern w:val="0"/>
          <w:sz w:val="32"/>
          <w:szCs w:val="32"/>
        </w:rPr>
        <w:t>按现行《医疗器械分类目录》，该类产品管理类别为</w:t>
      </w:r>
      <w:r w:rsidRPr="00640B84">
        <w:rPr>
          <w:rFonts w:eastAsia="仿宋_GB2312"/>
          <w:kern w:val="0"/>
          <w:sz w:val="32"/>
          <w:szCs w:val="32"/>
        </w:rPr>
        <w:t>Ⅲ</w:t>
      </w:r>
      <w:r w:rsidRPr="00640B84">
        <w:rPr>
          <w:rFonts w:eastAsia="仿宋_GB2312"/>
          <w:kern w:val="0"/>
          <w:sz w:val="32"/>
          <w:szCs w:val="32"/>
        </w:rPr>
        <w:t>类。</w:t>
      </w:r>
    </w:p>
    <w:p w:rsidR="00B777C7" w:rsidRPr="00640B84" w:rsidRDefault="00B777C7" w:rsidP="00B777C7">
      <w:pPr>
        <w:spacing w:line="520" w:lineRule="exact"/>
        <w:ind w:firstLineChars="200" w:firstLine="640"/>
        <w:rPr>
          <w:rFonts w:eastAsia="黑体"/>
          <w:sz w:val="32"/>
          <w:szCs w:val="32"/>
        </w:rPr>
      </w:pPr>
      <w:r w:rsidRPr="00640B84">
        <w:rPr>
          <w:rFonts w:eastAsia="黑体"/>
          <w:sz w:val="32"/>
          <w:szCs w:val="32"/>
        </w:rPr>
        <w:t>二、注册审查要点</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注册申报资料应符合国家药品监督管理局《关于公布医疗器械注册申报资料要求和批准证明文件格式的公告》中的要求，同时应符合以下要求：</w:t>
      </w:r>
    </w:p>
    <w:p w:rsidR="00B777C7" w:rsidRPr="00640B84" w:rsidRDefault="00B777C7" w:rsidP="00B777C7">
      <w:pPr>
        <w:spacing w:line="520" w:lineRule="exact"/>
        <w:ind w:firstLineChars="200" w:firstLine="640"/>
        <w:rPr>
          <w:rFonts w:eastAsia="仿宋_GB2312"/>
          <w:sz w:val="32"/>
          <w:szCs w:val="32"/>
        </w:rPr>
      </w:pPr>
      <w:r w:rsidRPr="00640B84">
        <w:rPr>
          <w:rFonts w:eastAsia="楷体_GB2312"/>
          <w:sz w:val="32"/>
          <w:szCs w:val="32"/>
        </w:rPr>
        <w:t>（一）监管信息</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1.</w:t>
      </w:r>
      <w:r w:rsidRPr="00640B84">
        <w:rPr>
          <w:rFonts w:eastAsia="仿宋_GB2312"/>
          <w:sz w:val="32"/>
          <w:szCs w:val="32"/>
        </w:rPr>
        <w:t>产品名称</w:t>
      </w:r>
    </w:p>
    <w:p w:rsidR="00B777C7" w:rsidRPr="00640B84" w:rsidRDefault="00B777C7" w:rsidP="00B777C7">
      <w:pPr>
        <w:widowControl/>
        <w:spacing w:line="520" w:lineRule="exact"/>
        <w:ind w:firstLineChars="200" w:firstLine="640"/>
        <w:rPr>
          <w:rFonts w:eastAsia="仿宋_GB2312"/>
          <w:sz w:val="32"/>
          <w:szCs w:val="32"/>
        </w:rPr>
      </w:pPr>
      <w:r w:rsidRPr="00640B84">
        <w:rPr>
          <w:rFonts w:eastAsia="仿宋_GB2312"/>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可增加表述产品材料等特征词，例如聚醚醚酮胸骨结扎带等。</w:t>
      </w:r>
    </w:p>
    <w:p w:rsidR="00B777C7" w:rsidRPr="00640B84" w:rsidRDefault="00B777C7" w:rsidP="00B777C7">
      <w:pPr>
        <w:spacing w:line="520" w:lineRule="exact"/>
        <w:ind w:firstLineChars="200" w:firstLine="640"/>
        <w:rPr>
          <w:rFonts w:eastAsia="仿宋_GB2312"/>
          <w:sz w:val="32"/>
          <w:szCs w:val="32"/>
        </w:rPr>
      </w:pPr>
      <w:r w:rsidRPr="00640B84">
        <w:rPr>
          <w:rFonts w:eastAsia="楷体_GB2312"/>
          <w:sz w:val="32"/>
          <w:szCs w:val="32"/>
        </w:rPr>
        <w:t>2.</w:t>
      </w:r>
      <w:r w:rsidRPr="00640B84">
        <w:rPr>
          <w:rFonts w:eastAsia="仿宋_GB2312"/>
          <w:sz w:val="32"/>
          <w:szCs w:val="32"/>
        </w:rPr>
        <w:t>注册单元划分</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产品注册单元的划分需符合《医疗器械注册单元划分指导原则》的要求。</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植入部分材质不同的需划分为不同的注册单元，如不锈钢结扎带和聚醚醚酮结扎带需划分不同注册单元；作为同一系统组件配合使用的、材质已确定的配件，如结扎带（聚醚醚酮）、穿引弯钩和锁扣（钛合金），虽材质不同，但因组合使用，可作为同一注册单元申报。主要制造工艺方法不同的同类组件，需划分为不同注册单元。</w:t>
      </w:r>
    </w:p>
    <w:p w:rsidR="00B777C7" w:rsidRPr="00640B84" w:rsidRDefault="00B777C7" w:rsidP="00B777C7">
      <w:pPr>
        <w:spacing w:line="520" w:lineRule="exact"/>
        <w:ind w:firstLineChars="200" w:firstLine="640"/>
        <w:rPr>
          <w:rFonts w:eastAsia="楷体_GB2312"/>
          <w:sz w:val="32"/>
          <w:szCs w:val="32"/>
        </w:rPr>
      </w:pPr>
      <w:r w:rsidRPr="00640B84">
        <w:rPr>
          <w:rFonts w:eastAsia="楷体_GB2312"/>
          <w:sz w:val="32"/>
          <w:szCs w:val="32"/>
        </w:rPr>
        <w:t>（二）综述资料</w:t>
      </w:r>
    </w:p>
    <w:p w:rsidR="00B777C7" w:rsidRPr="00640B84" w:rsidRDefault="00B777C7" w:rsidP="00B777C7">
      <w:pPr>
        <w:spacing w:line="520" w:lineRule="exact"/>
        <w:ind w:firstLineChars="200" w:firstLine="640"/>
        <w:rPr>
          <w:rFonts w:eastAsia="仿宋_GB2312"/>
          <w:sz w:val="32"/>
          <w:szCs w:val="32"/>
        </w:rPr>
      </w:pPr>
      <w:r w:rsidRPr="00640B84">
        <w:rPr>
          <w:rFonts w:eastAsia="楷体_GB2312"/>
          <w:sz w:val="32"/>
          <w:szCs w:val="32"/>
        </w:rPr>
        <w:lastRenderedPageBreak/>
        <w:t>1</w:t>
      </w:r>
      <w:r w:rsidRPr="00640B84">
        <w:rPr>
          <w:rFonts w:eastAsia="仿宋_GB2312"/>
          <w:sz w:val="32"/>
          <w:szCs w:val="32"/>
        </w:rPr>
        <w:t>.</w:t>
      </w:r>
      <w:r w:rsidRPr="00640B84">
        <w:rPr>
          <w:rFonts w:eastAsia="仿宋_GB2312"/>
          <w:sz w:val="32"/>
          <w:szCs w:val="32"/>
        </w:rPr>
        <w:t>产品描述</w:t>
      </w:r>
    </w:p>
    <w:p w:rsidR="00B777C7" w:rsidRPr="00640B84" w:rsidRDefault="00B777C7" w:rsidP="00B777C7">
      <w:pPr>
        <w:widowControl/>
        <w:spacing w:line="520" w:lineRule="exact"/>
        <w:ind w:firstLineChars="200" w:firstLine="640"/>
        <w:rPr>
          <w:rFonts w:eastAsia="仿宋_GB2312"/>
          <w:sz w:val="32"/>
          <w:szCs w:val="32"/>
        </w:rPr>
      </w:pPr>
      <w:r w:rsidRPr="00640B84">
        <w:rPr>
          <w:rFonts w:eastAsia="仿宋_GB2312"/>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应说明。</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器械及操作原理描述</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2.1</w:t>
      </w:r>
      <w:r w:rsidRPr="00640B84">
        <w:rPr>
          <w:rFonts w:eastAsia="仿宋_GB2312"/>
          <w:kern w:val="0"/>
          <w:sz w:val="32"/>
          <w:szCs w:val="32"/>
        </w:rPr>
        <w:t>提供各部件（包括附件）的结构图示（建议提供工程结构图）和照片，图示中注意标注各部分名称、关键尺寸信息及测量位置，结合图示详细描述申报产品的结构组成、产品所有部件组成的工作原理</w:t>
      </w:r>
      <w:r w:rsidRPr="00640B84">
        <w:rPr>
          <w:rFonts w:eastAsia="仿宋_GB2312"/>
          <w:kern w:val="0"/>
          <w:sz w:val="32"/>
          <w:szCs w:val="32"/>
        </w:rPr>
        <w:t>/</w:t>
      </w:r>
      <w:r w:rsidRPr="00640B84">
        <w:rPr>
          <w:rFonts w:eastAsia="仿宋_GB2312"/>
          <w:kern w:val="0"/>
          <w:sz w:val="32"/>
          <w:szCs w:val="32"/>
        </w:rPr>
        <w:t>功能</w:t>
      </w:r>
      <w:r w:rsidRPr="00640B84">
        <w:rPr>
          <w:rFonts w:eastAsia="仿宋_GB2312"/>
          <w:kern w:val="0"/>
          <w:sz w:val="32"/>
          <w:szCs w:val="32"/>
        </w:rPr>
        <w:t>/</w:t>
      </w:r>
      <w:r w:rsidRPr="00640B84">
        <w:rPr>
          <w:rFonts w:eastAsia="仿宋_GB2312"/>
          <w:kern w:val="0"/>
          <w:sz w:val="32"/>
          <w:szCs w:val="32"/>
        </w:rPr>
        <w:t>作用机理，明确各部件的连接情况。对申报产品需提供能够体现部件结构及其位置关系的图示（如实物图、三视图、组装图等）。</w:t>
      </w:r>
      <w:r w:rsidRPr="00640B84">
        <w:rPr>
          <w:rFonts w:eastAsia="仿宋_GB2312"/>
          <w:sz w:val="32"/>
          <w:szCs w:val="32"/>
        </w:rPr>
        <w:t>根据产品特征，明确产品的几何尺寸。</w:t>
      </w:r>
      <w:r w:rsidRPr="00640B84">
        <w:rPr>
          <w:rFonts w:eastAsia="仿宋_GB2312"/>
          <w:kern w:val="0"/>
          <w:sz w:val="32"/>
          <w:szCs w:val="32"/>
        </w:rPr>
        <w:t>例如结扎带的直径、长度、宽度、厚度；锁扣孔直径、长度、宽度、厚度；</w:t>
      </w:r>
      <w:r w:rsidRPr="00640B84">
        <w:rPr>
          <w:rFonts w:eastAsia="仿宋_GB2312"/>
          <w:sz w:val="32"/>
          <w:szCs w:val="32"/>
        </w:rPr>
        <w:t>穿引弯钩</w:t>
      </w:r>
      <w:r w:rsidRPr="00640B84">
        <w:rPr>
          <w:rFonts w:eastAsia="仿宋_GB2312"/>
          <w:sz w:val="32"/>
          <w:szCs w:val="32"/>
        </w:rPr>
        <w:t>/</w:t>
      </w:r>
      <w:r w:rsidRPr="00640B84">
        <w:rPr>
          <w:rFonts w:eastAsia="仿宋_GB2312"/>
          <w:sz w:val="32"/>
          <w:szCs w:val="32"/>
        </w:rPr>
        <w:t>针的直径</w:t>
      </w:r>
      <w:r w:rsidRPr="00640B84">
        <w:rPr>
          <w:rFonts w:eastAsia="仿宋_GB2312"/>
          <w:sz w:val="32"/>
          <w:szCs w:val="32"/>
        </w:rPr>
        <w:t>/</w:t>
      </w:r>
      <w:r w:rsidRPr="00640B84">
        <w:rPr>
          <w:rFonts w:eastAsia="仿宋_GB2312"/>
          <w:sz w:val="32"/>
          <w:szCs w:val="32"/>
        </w:rPr>
        <w:t>宽度、长度</w:t>
      </w:r>
      <w:r w:rsidRPr="00640B84">
        <w:rPr>
          <w:rFonts w:eastAsia="仿宋_GB2312"/>
          <w:kern w:val="0"/>
          <w:sz w:val="32"/>
          <w:szCs w:val="32"/>
        </w:rPr>
        <w:t>；柔性金属丝直径、长度</w:t>
      </w:r>
      <w:r w:rsidRPr="00640B84">
        <w:rPr>
          <w:rFonts w:eastAsia="仿宋_GB2312"/>
          <w:sz w:val="32"/>
          <w:szCs w:val="32"/>
        </w:rPr>
        <w:t>等识别产品规格特征、结构和配合的重要尺寸。</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sz w:val="32"/>
          <w:szCs w:val="32"/>
        </w:rPr>
        <w:t>2.2</w:t>
      </w:r>
      <w:r w:rsidRPr="00640B84">
        <w:rPr>
          <w:rFonts w:eastAsia="仿宋_GB2312"/>
          <w:kern w:val="0"/>
          <w:sz w:val="32"/>
          <w:szCs w:val="32"/>
        </w:rPr>
        <w:t>明确产品与使用者和</w:t>
      </w:r>
      <w:r w:rsidRPr="00640B84">
        <w:rPr>
          <w:rFonts w:eastAsia="仿宋_GB2312"/>
          <w:kern w:val="0"/>
          <w:sz w:val="32"/>
          <w:szCs w:val="32"/>
        </w:rPr>
        <w:t>/</w:t>
      </w:r>
      <w:r w:rsidRPr="00640B84">
        <w:rPr>
          <w:rFonts w:eastAsia="仿宋_GB2312"/>
          <w:kern w:val="0"/>
          <w:sz w:val="32"/>
          <w:szCs w:val="32"/>
        </w:rPr>
        <w:t>或患者直接或间接接触的部件组成材料的通用名称</w:t>
      </w:r>
      <w:r w:rsidRPr="00640B84">
        <w:rPr>
          <w:rFonts w:eastAsia="仿宋_GB2312"/>
          <w:kern w:val="0"/>
          <w:sz w:val="32"/>
          <w:szCs w:val="32"/>
        </w:rPr>
        <w:t>/</w:t>
      </w:r>
      <w:r w:rsidRPr="00640B84">
        <w:rPr>
          <w:rFonts w:eastAsia="仿宋_GB2312"/>
          <w:kern w:val="0"/>
          <w:sz w:val="32"/>
          <w:szCs w:val="32"/>
        </w:rPr>
        <w:t>化学名称、商品名</w:t>
      </w:r>
      <w:r w:rsidRPr="00640B84">
        <w:rPr>
          <w:rFonts w:eastAsia="仿宋_GB2312"/>
          <w:kern w:val="0"/>
          <w:sz w:val="32"/>
          <w:szCs w:val="32"/>
        </w:rPr>
        <w:t>/</w:t>
      </w:r>
      <w:r w:rsidRPr="00640B84">
        <w:rPr>
          <w:rFonts w:eastAsia="仿宋_GB2312"/>
          <w:kern w:val="0"/>
          <w:sz w:val="32"/>
          <w:szCs w:val="32"/>
        </w:rPr>
        <w:t>牌号、符合的材料标准（如适用）及材料供应商等基本信息，包括制造过程中使用的加工助剂。建议产品组成材料以列表的形式提供，并与产品结构图示中标识的部件名称一一对应。</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2.3</w:t>
      </w:r>
      <w:r w:rsidRPr="00640B84">
        <w:rPr>
          <w:rFonts w:eastAsia="仿宋_GB2312"/>
          <w:kern w:val="0"/>
          <w:sz w:val="32"/>
          <w:szCs w:val="32"/>
        </w:rPr>
        <w:t>需简述关键部件的生产工艺，如聚醚醚酮胸骨结扎带的加工成型过程等。</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 xml:space="preserve">2.4 </w:t>
      </w:r>
      <w:r w:rsidRPr="00640B84">
        <w:rPr>
          <w:rFonts w:eastAsia="仿宋_GB2312"/>
          <w:kern w:val="0"/>
          <w:sz w:val="32"/>
          <w:szCs w:val="32"/>
        </w:rPr>
        <w:t>提供产品详细使用方法，建议提交解剖适配图，明</w:t>
      </w:r>
      <w:r w:rsidRPr="00640B84">
        <w:rPr>
          <w:rFonts w:eastAsia="仿宋_GB2312"/>
          <w:kern w:val="0"/>
          <w:sz w:val="32"/>
          <w:szCs w:val="32"/>
        </w:rPr>
        <w:lastRenderedPageBreak/>
        <w:t>确各组件在临床使用过程中的功能。</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型号规格</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对于存在多种型号规格的产品，需明确各型号规格的区别，采用对比表及带有说明性文字的图片、图表，如提供胸骨捆扎固定系统固定在胸骨模型上的放大照片和</w:t>
      </w:r>
      <w:r w:rsidRPr="00640B84">
        <w:rPr>
          <w:rFonts w:eastAsia="仿宋_GB2312"/>
          <w:sz w:val="32"/>
          <w:szCs w:val="32"/>
        </w:rPr>
        <w:t>/</w:t>
      </w:r>
      <w:r w:rsidRPr="00640B84">
        <w:rPr>
          <w:rFonts w:eastAsia="仿宋_GB2312"/>
          <w:sz w:val="32"/>
          <w:szCs w:val="32"/>
        </w:rPr>
        <w:t>或实体图，对各种型号规格的结构组成、产品特征、性能指标、功能等方面加以描述。</w:t>
      </w:r>
    </w:p>
    <w:p w:rsidR="00B777C7" w:rsidRPr="00640B84" w:rsidRDefault="00B777C7" w:rsidP="00B777C7">
      <w:pPr>
        <w:widowControl/>
        <w:spacing w:line="520" w:lineRule="exact"/>
        <w:ind w:firstLineChars="200" w:firstLine="640"/>
        <w:rPr>
          <w:rFonts w:eastAsia="仿宋_GB2312"/>
          <w:sz w:val="32"/>
          <w:szCs w:val="32"/>
        </w:rPr>
      </w:pPr>
      <w:r w:rsidRPr="00640B84">
        <w:rPr>
          <w:rFonts w:eastAsia="仿宋_GB2312"/>
          <w:sz w:val="32"/>
          <w:szCs w:val="32"/>
        </w:rPr>
        <w:t>4.</w:t>
      </w:r>
      <w:r w:rsidRPr="00640B84">
        <w:rPr>
          <w:rFonts w:eastAsia="仿宋_GB2312"/>
          <w:sz w:val="32"/>
          <w:szCs w:val="32"/>
        </w:rPr>
        <w:t>包装说明</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明确产品所有组成部分的包装形式及初包装（无菌屏障系统）材料信息。建议提供初包装的照片及图示，明确初包装的材料信息，并以列表形式说明所有包装内容物。</w:t>
      </w:r>
    </w:p>
    <w:p w:rsidR="00B777C7" w:rsidRPr="00640B84" w:rsidRDefault="00B777C7" w:rsidP="00B777C7">
      <w:pPr>
        <w:tabs>
          <w:tab w:val="left" w:pos="993"/>
        </w:tabs>
        <w:spacing w:line="520" w:lineRule="exact"/>
        <w:ind w:firstLineChars="200" w:firstLine="640"/>
        <w:rPr>
          <w:rFonts w:eastAsia="仿宋_GB2312"/>
          <w:sz w:val="32"/>
          <w:szCs w:val="32"/>
        </w:rPr>
      </w:pPr>
      <w:r w:rsidRPr="00640B84">
        <w:rPr>
          <w:rFonts w:eastAsia="仿宋_GB2312"/>
          <w:sz w:val="32"/>
          <w:szCs w:val="32"/>
        </w:rPr>
        <w:t>5.</w:t>
      </w:r>
      <w:r w:rsidRPr="00640B84">
        <w:rPr>
          <w:rFonts w:eastAsia="仿宋_GB2312"/>
          <w:sz w:val="32"/>
          <w:szCs w:val="32"/>
        </w:rPr>
        <w:t>与同类和</w:t>
      </w:r>
      <w:r w:rsidRPr="00640B84">
        <w:rPr>
          <w:rFonts w:eastAsia="仿宋_GB2312"/>
          <w:sz w:val="32"/>
          <w:szCs w:val="32"/>
        </w:rPr>
        <w:t>/</w:t>
      </w:r>
      <w:r w:rsidRPr="00640B84">
        <w:rPr>
          <w:rFonts w:eastAsia="仿宋_GB2312"/>
          <w:sz w:val="32"/>
          <w:szCs w:val="32"/>
        </w:rPr>
        <w:t>或前代产品的参考和比较</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需提供同类产品（国内或国外已上市）或前代产品（如有）的信息，阐述申请注册产品的研发背景和目的。如有参考的同类产品或前代产品，应当提供同类产品或前代产品的信息，并说明选择其作为研发参考的原因。</w:t>
      </w:r>
    </w:p>
    <w:p w:rsidR="00B777C7" w:rsidRPr="00640B84" w:rsidRDefault="00B777C7" w:rsidP="00B777C7">
      <w:pPr>
        <w:widowControl/>
        <w:spacing w:line="520" w:lineRule="exact"/>
        <w:ind w:firstLineChars="200" w:firstLine="640"/>
        <w:rPr>
          <w:rFonts w:eastAsia="仿宋_GB2312"/>
          <w:sz w:val="32"/>
          <w:szCs w:val="32"/>
        </w:rPr>
      </w:pPr>
      <w:r w:rsidRPr="00640B84">
        <w:rPr>
          <w:rFonts w:eastAsia="仿宋_GB2312"/>
          <w:sz w:val="32"/>
          <w:szCs w:val="32"/>
        </w:rPr>
        <w:t>需综述同类产品国内或国外研究、临床使用现状及发展趋势。同时列表比较说明申报产品与参考产品（同类产品或前代产品）在材料、结构设计、工作原理、适用范围及产品性能指标等方面的异同。明确产品有无使用了新材料、新技术、新设计或具有新作用机理、新功能。</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sz w:val="32"/>
          <w:szCs w:val="32"/>
        </w:rPr>
        <w:t>6.</w:t>
      </w:r>
      <w:r w:rsidRPr="00640B84">
        <w:rPr>
          <w:rFonts w:eastAsia="仿宋_GB2312"/>
          <w:sz w:val="32"/>
          <w:szCs w:val="32"/>
        </w:rPr>
        <w:t>适用范围和禁忌证</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产品的适用范围、适用人群、禁忌证需与申报产品的性能、功能相符。</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6.1</w:t>
      </w:r>
      <w:r w:rsidRPr="00640B84">
        <w:rPr>
          <w:rFonts w:eastAsia="仿宋_GB2312"/>
          <w:sz w:val="32"/>
          <w:szCs w:val="32"/>
        </w:rPr>
        <w:t>适用范围</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适用范围的表述需客观、清晰，使用有明确定义或行业</w:t>
      </w:r>
      <w:r w:rsidRPr="00640B84">
        <w:rPr>
          <w:rFonts w:eastAsia="仿宋_GB2312"/>
          <w:sz w:val="32"/>
          <w:szCs w:val="32"/>
        </w:rPr>
        <w:lastRenderedPageBreak/>
        <w:t>公认的术语或名词。例如：该产品适用于开胸术中的胸骨捆扎固定。需根据申报产品的实际使用方法限定适用范围。</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6.2</w:t>
      </w:r>
      <w:r w:rsidRPr="00640B84">
        <w:rPr>
          <w:rFonts w:eastAsia="仿宋_GB2312"/>
          <w:sz w:val="32"/>
          <w:szCs w:val="32"/>
        </w:rPr>
        <w:t>预期使用环境</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明确预期使用的地点（如医疗机构），说明可能影响其安全性和有效性的环境条件。</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6.3</w:t>
      </w:r>
      <w:r w:rsidRPr="00640B84">
        <w:rPr>
          <w:rFonts w:eastAsia="仿宋_GB2312"/>
          <w:sz w:val="32"/>
          <w:szCs w:val="32"/>
        </w:rPr>
        <w:t>适用人群</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说明该器械目标患者人群信息，以及使用过程中需要考虑的因素、不适宜应用的某些疾病、情况或特定人群（如适用）。如申报产品目标患者人群包含新生儿、婴儿或者儿童，应当描述预期使用申报产品治疗、诊断、预防、缓解或治愈疾病、病况的非成人特定群体。</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6.4</w:t>
      </w:r>
      <w:r w:rsidRPr="00640B84">
        <w:rPr>
          <w:rFonts w:eastAsia="仿宋_GB2312"/>
          <w:sz w:val="32"/>
          <w:szCs w:val="32"/>
        </w:rPr>
        <w:t>禁忌证</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如适用，通过风险</w:t>
      </w:r>
      <w:r w:rsidRPr="00640B84">
        <w:rPr>
          <w:rFonts w:eastAsia="仿宋_GB2312"/>
          <w:sz w:val="32"/>
          <w:szCs w:val="32"/>
        </w:rPr>
        <w:t>/</w:t>
      </w:r>
      <w:r w:rsidRPr="00640B84">
        <w:rPr>
          <w:rFonts w:eastAsia="仿宋_GB2312"/>
          <w:sz w:val="32"/>
          <w:szCs w:val="32"/>
        </w:rPr>
        <w:t>受益评估后，针对某些疾病、情况或特定的人群，认为不适合使用该产品的，需明确说明。</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7.</w:t>
      </w:r>
      <w:r w:rsidRPr="00640B84">
        <w:rPr>
          <w:rFonts w:eastAsia="仿宋_GB2312"/>
          <w:sz w:val="32"/>
          <w:szCs w:val="32"/>
        </w:rPr>
        <w:t>申报产品上市历史</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8.</w:t>
      </w:r>
      <w:r w:rsidRPr="00640B84">
        <w:rPr>
          <w:rFonts w:eastAsia="仿宋_GB2312"/>
          <w:sz w:val="32"/>
          <w:szCs w:val="32"/>
        </w:rPr>
        <w:t>配合使用器械</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如预期与申报产品联合使用实现预期用途的其他产品，需明确其详细信息。</w:t>
      </w:r>
    </w:p>
    <w:p w:rsidR="00B777C7" w:rsidRPr="00640B84" w:rsidRDefault="00B777C7" w:rsidP="00B777C7">
      <w:pPr>
        <w:adjustRightInd w:val="0"/>
        <w:snapToGrid w:val="0"/>
        <w:spacing w:line="520" w:lineRule="exact"/>
        <w:ind w:firstLineChars="200" w:firstLine="640"/>
        <w:outlineLvl w:val="1"/>
        <w:rPr>
          <w:rFonts w:eastAsia="楷体_GB2312"/>
          <w:sz w:val="32"/>
          <w:szCs w:val="32"/>
        </w:rPr>
      </w:pPr>
      <w:r w:rsidRPr="00640B84">
        <w:rPr>
          <w:rFonts w:eastAsia="楷体_GB2312"/>
          <w:sz w:val="32"/>
          <w:szCs w:val="32"/>
        </w:rPr>
        <w:t>（三）非临床研究资料</w:t>
      </w:r>
    </w:p>
    <w:p w:rsidR="00B777C7" w:rsidRPr="00640B84" w:rsidRDefault="00B777C7" w:rsidP="00B777C7">
      <w:pPr>
        <w:adjustRightInd w:val="0"/>
        <w:snapToGrid w:val="0"/>
        <w:spacing w:line="520" w:lineRule="exact"/>
        <w:ind w:firstLineChars="200" w:firstLine="640"/>
        <w:rPr>
          <w:rFonts w:eastAsia="仿宋_GB2312"/>
          <w:bCs/>
          <w:sz w:val="32"/>
          <w:szCs w:val="32"/>
        </w:rPr>
      </w:pPr>
      <w:r w:rsidRPr="00640B84">
        <w:rPr>
          <w:rFonts w:eastAsia="仿宋_GB2312"/>
          <w:bCs/>
          <w:sz w:val="32"/>
          <w:szCs w:val="32"/>
        </w:rPr>
        <w:t>1.</w:t>
      </w:r>
      <w:r w:rsidRPr="00640B84">
        <w:rPr>
          <w:rFonts w:eastAsia="仿宋_GB2312"/>
          <w:bCs/>
          <w:sz w:val="32"/>
          <w:szCs w:val="32"/>
        </w:rPr>
        <w:t>产品风险管理资料</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sz w:val="32"/>
          <w:szCs w:val="32"/>
        </w:rPr>
        <w:t>注册申请人需对产品全生命周期实施风险管理，提交风险管理资料（参照</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w:t>
      </w:r>
      <w:r w:rsidRPr="00640B84">
        <w:rPr>
          <w:rFonts w:eastAsia="仿宋_GB2312"/>
          <w:sz w:val="32"/>
          <w:szCs w:val="32"/>
        </w:rPr>
        <w:lastRenderedPageBreak/>
        <w:t>器械的应用》），</w:t>
      </w:r>
      <w:r w:rsidRPr="00640B84">
        <w:rPr>
          <w:rFonts w:eastAsia="仿宋_GB2312"/>
          <w:kern w:val="0"/>
          <w:sz w:val="32"/>
          <w:szCs w:val="32"/>
        </w:rPr>
        <w:t>充分识别产品的设计、原材料、制造过程、产品包装、灭菌、运输、贮存、使用等产品生命周期内各个环节的安全特征，从生物学危险（源）、环境危险（源）、有关植入过程的危险（源）、由功能失效、疲劳所引起的危险（如胸骨捆扎固定系统不稳、松动、断裂、组件分离、组件尺寸不匹配等失效风险）等方面，对产品进行全面的风险分析，并详述所采取的风险控制措施。</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风险管理报告需包括生产和生产后信息（具体内容参考</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w:t>
      </w:r>
      <w:r w:rsidRPr="00640B84">
        <w:rPr>
          <w:rFonts w:eastAsia="仿宋_GB2312"/>
          <w:kern w:val="0"/>
          <w:sz w:val="32"/>
          <w:szCs w:val="32"/>
        </w:rPr>
        <w:t>第</w:t>
      </w:r>
      <w:r w:rsidRPr="00640B84">
        <w:rPr>
          <w:rFonts w:eastAsia="仿宋_GB2312"/>
          <w:kern w:val="0"/>
          <w:sz w:val="32"/>
          <w:szCs w:val="32"/>
        </w:rPr>
        <w:t>9</w:t>
      </w:r>
      <w:r w:rsidRPr="00640B84">
        <w:rPr>
          <w:rFonts w:eastAsia="仿宋_GB2312"/>
          <w:kern w:val="0"/>
          <w:sz w:val="32"/>
          <w:szCs w:val="32"/>
        </w:rPr>
        <w:t>章和《医疗器械安全和性能的基本原则》的</w:t>
      </w:r>
      <w:r w:rsidRPr="00640B84">
        <w:rPr>
          <w:rFonts w:eastAsia="仿宋_GB2312"/>
          <w:kern w:val="0"/>
          <w:sz w:val="32"/>
          <w:szCs w:val="32"/>
        </w:rPr>
        <w:t>2.1.2e)</w:t>
      </w:r>
      <w:r w:rsidRPr="00640B84">
        <w:rPr>
          <w:rFonts w:eastAsia="仿宋_GB2312"/>
          <w:kern w:val="0"/>
          <w:sz w:val="32"/>
          <w:szCs w:val="32"/>
        </w:rPr>
        <w:t>和</w:t>
      </w:r>
      <w:r w:rsidRPr="00640B84">
        <w:rPr>
          <w:rFonts w:eastAsia="仿宋_GB2312"/>
          <w:kern w:val="0"/>
          <w:sz w:val="32"/>
          <w:szCs w:val="32"/>
        </w:rPr>
        <w:t>f)</w:t>
      </w:r>
      <w:r w:rsidRPr="00640B84">
        <w:rPr>
          <w:rFonts w:eastAsia="仿宋_GB2312"/>
          <w:kern w:val="0"/>
          <w:sz w:val="32"/>
          <w:szCs w:val="32"/>
        </w:rPr>
        <w:t>部分）。产品变更注册和已在境外上市产品注册时，申报资料中的风险管理报告需包括上述内容，将风险管理贯穿于产品的全生命周期。</w:t>
      </w:r>
    </w:p>
    <w:p w:rsidR="00B777C7" w:rsidRPr="00640B84" w:rsidRDefault="00B777C7" w:rsidP="00B777C7">
      <w:pPr>
        <w:adjustRightInd w:val="0"/>
        <w:snapToGrid w:val="0"/>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医疗器械安全和性能基本原则清单</w:t>
      </w:r>
    </w:p>
    <w:p w:rsidR="00B777C7" w:rsidRPr="00640B84" w:rsidRDefault="00B777C7" w:rsidP="00B777C7">
      <w:pPr>
        <w:numPr>
          <w:ilvl w:val="255"/>
          <w:numId w:val="0"/>
        </w:numPr>
        <w:spacing w:line="520" w:lineRule="exact"/>
        <w:ind w:firstLineChars="200" w:firstLine="640"/>
        <w:rPr>
          <w:rFonts w:eastAsia="仿宋_GB2312"/>
          <w:sz w:val="32"/>
          <w:szCs w:val="32"/>
        </w:rPr>
      </w:pPr>
      <w:r w:rsidRPr="00640B84">
        <w:rPr>
          <w:rFonts w:eastAsia="仿宋_GB2312"/>
          <w:sz w:val="32"/>
          <w:szCs w:val="32"/>
        </w:rPr>
        <w:t>明确产品符合《医疗器械安全和性能基本原则清单》各适用项要求所采用的方法及证明其符合性的文件。</w:t>
      </w:r>
    </w:p>
    <w:p w:rsidR="00B777C7" w:rsidRPr="00640B84" w:rsidRDefault="00B777C7" w:rsidP="00B777C7">
      <w:pPr>
        <w:numPr>
          <w:ilvl w:val="255"/>
          <w:numId w:val="0"/>
        </w:num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产品技术要求</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sz w:val="32"/>
          <w:szCs w:val="32"/>
        </w:rPr>
        <w:t>产品技术要求的制定需符合《医疗器械产品技术要求编写指导原则》的要求，</w:t>
      </w:r>
      <w:r w:rsidRPr="00640B84">
        <w:rPr>
          <w:rFonts w:eastAsia="仿宋_GB2312"/>
          <w:kern w:val="0"/>
          <w:sz w:val="32"/>
          <w:szCs w:val="32"/>
        </w:rPr>
        <w:t>同时结合产品具体适用的指导原则或相关国家标准、行业标准以及产品的特点，选择适用项对各项性能指标和检验方法进行制定，以保证产品安全、有效、质量可控。</w:t>
      </w:r>
    </w:p>
    <w:p w:rsidR="00B777C7" w:rsidRPr="00640B84" w:rsidRDefault="00B777C7" w:rsidP="00B777C7">
      <w:pPr>
        <w:adjustRightInd w:val="0"/>
        <w:snapToGrid w:val="0"/>
        <w:spacing w:line="520" w:lineRule="exact"/>
        <w:ind w:firstLineChars="200" w:firstLine="640"/>
        <w:rPr>
          <w:rFonts w:eastAsia="仿宋_GB2312"/>
          <w:bCs/>
          <w:sz w:val="32"/>
          <w:szCs w:val="32"/>
        </w:rPr>
      </w:pPr>
      <w:r w:rsidRPr="00640B84">
        <w:rPr>
          <w:rFonts w:eastAsia="仿宋_GB2312"/>
          <w:bCs/>
          <w:sz w:val="32"/>
          <w:szCs w:val="32"/>
        </w:rPr>
        <w:t>3.1</w:t>
      </w:r>
      <w:r w:rsidRPr="00640B84">
        <w:rPr>
          <w:rFonts w:eastAsia="仿宋_GB2312"/>
          <w:kern w:val="0"/>
          <w:sz w:val="32"/>
          <w:szCs w:val="32"/>
        </w:rPr>
        <w:t>产品型号</w:t>
      </w:r>
      <w:r w:rsidRPr="00640B84">
        <w:rPr>
          <w:rFonts w:eastAsia="仿宋_GB2312"/>
          <w:kern w:val="0"/>
          <w:sz w:val="32"/>
          <w:szCs w:val="32"/>
        </w:rPr>
        <w:t>/</w:t>
      </w:r>
      <w:r w:rsidRPr="00640B84">
        <w:rPr>
          <w:rFonts w:eastAsia="仿宋_GB2312"/>
          <w:kern w:val="0"/>
          <w:sz w:val="32"/>
          <w:szCs w:val="32"/>
        </w:rPr>
        <w:t>规格及其</w:t>
      </w:r>
      <w:r w:rsidRPr="00640B84">
        <w:rPr>
          <w:rFonts w:eastAsia="仿宋_GB2312"/>
          <w:bCs/>
          <w:sz w:val="32"/>
          <w:szCs w:val="32"/>
        </w:rPr>
        <w:t>划分说明</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明确产品型号</w:t>
      </w:r>
      <w:r w:rsidRPr="00640B84">
        <w:rPr>
          <w:rFonts w:eastAsia="仿宋_GB2312"/>
          <w:sz w:val="32"/>
          <w:szCs w:val="32"/>
        </w:rPr>
        <w:t>/</w:t>
      </w:r>
      <w:r w:rsidRPr="00640B84">
        <w:rPr>
          <w:rFonts w:eastAsia="仿宋_GB2312"/>
          <w:sz w:val="32"/>
          <w:szCs w:val="32"/>
        </w:rPr>
        <w:t>规格，阐明各型号</w:t>
      </w:r>
      <w:r w:rsidRPr="00640B84">
        <w:rPr>
          <w:rFonts w:eastAsia="仿宋_GB2312"/>
          <w:sz w:val="32"/>
          <w:szCs w:val="32"/>
        </w:rPr>
        <w:t>/</w:t>
      </w:r>
      <w:r w:rsidRPr="00640B84">
        <w:rPr>
          <w:rFonts w:eastAsia="仿宋_GB2312"/>
          <w:sz w:val="32"/>
          <w:szCs w:val="32"/>
        </w:rPr>
        <w:t>规格间的区别及划分说明，型号</w:t>
      </w:r>
      <w:r w:rsidRPr="00640B84">
        <w:rPr>
          <w:rFonts w:eastAsia="仿宋_GB2312"/>
          <w:sz w:val="32"/>
          <w:szCs w:val="32"/>
        </w:rPr>
        <w:t>/</w:t>
      </w:r>
      <w:r w:rsidRPr="00640B84">
        <w:rPr>
          <w:rFonts w:eastAsia="仿宋_GB2312"/>
          <w:sz w:val="32"/>
          <w:szCs w:val="32"/>
        </w:rPr>
        <w:t>规格的表述需在全部注册申报资料中保持一致。</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该部分需明确各组件的详细结构示意图和特征尺寸参</w:t>
      </w:r>
      <w:r w:rsidRPr="00640B84">
        <w:rPr>
          <w:rFonts w:eastAsia="仿宋_GB2312"/>
          <w:sz w:val="32"/>
          <w:szCs w:val="32"/>
        </w:rPr>
        <w:lastRenderedPageBreak/>
        <w:t>数，例如</w:t>
      </w:r>
      <w:r w:rsidRPr="00640B84">
        <w:rPr>
          <w:rFonts w:eastAsia="仿宋_GB2312"/>
          <w:kern w:val="0"/>
          <w:sz w:val="32"/>
          <w:szCs w:val="32"/>
        </w:rPr>
        <w:t>结扎带的直径、长度、宽度、厚度；锁扣孔直径、长度、宽度、厚度；</w:t>
      </w:r>
      <w:r w:rsidRPr="00640B84">
        <w:rPr>
          <w:rFonts w:eastAsia="仿宋_GB2312"/>
          <w:sz w:val="32"/>
          <w:szCs w:val="32"/>
        </w:rPr>
        <w:t>穿引弯钩</w:t>
      </w:r>
      <w:r w:rsidRPr="00640B84">
        <w:rPr>
          <w:rFonts w:eastAsia="仿宋_GB2312"/>
          <w:sz w:val="32"/>
          <w:szCs w:val="32"/>
        </w:rPr>
        <w:t>/</w:t>
      </w:r>
      <w:r w:rsidRPr="00640B84">
        <w:rPr>
          <w:rFonts w:eastAsia="仿宋_GB2312"/>
          <w:sz w:val="32"/>
          <w:szCs w:val="32"/>
        </w:rPr>
        <w:t>针的直径</w:t>
      </w:r>
      <w:r w:rsidRPr="00640B84">
        <w:rPr>
          <w:rFonts w:eastAsia="仿宋_GB2312"/>
          <w:sz w:val="32"/>
          <w:szCs w:val="32"/>
        </w:rPr>
        <w:t>/</w:t>
      </w:r>
      <w:r w:rsidRPr="00640B84">
        <w:rPr>
          <w:rFonts w:eastAsia="仿宋_GB2312"/>
          <w:sz w:val="32"/>
          <w:szCs w:val="32"/>
        </w:rPr>
        <w:t>宽度、长度</w:t>
      </w:r>
      <w:r w:rsidRPr="00640B84">
        <w:rPr>
          <w:rFonts w:eastAsia="仿宋_GB2312"/>
          <w:kern w:val="0"/>
          <w:sz w:val="32"/>
          <w:szCs w:val="32"/>
        </w:rPr>
        <w:t>；柔性金属丝直径、长度</w:t>
      </w:r>
      <w:r w:rsidRPr="00640B84">
        <w:rPr>
          <w:rFonts w:eastAsia="仿宋_GB2312"/>
          <w:sz w:val="32"/>
          <w:szCs w:val="32"/>
        </w:rPr>
        <w:t>等识别产品规格特征、结构和配合的重要尺寸。</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w:t>
      </w:r>
      <w:r w:rsidRPr="00640B84">
        <w:rPr>
          <w:rFonts w:eastAsia="仿宋_GB2312"/>
          <w:kern w:val="0"/>
          <w:sz w:val="32"/>
          <w:szCs w:val="32"/>
        </w:rPr>
        <w:t>性能指标</w:t>
      </w:r>
    </w:p>
    <w:p w:rsidR="00B777C7" w:rsidRPr="00640B84" w:rsidRDefault="00B777C7" w:rsidP="00B777C7">
      <w:pPr>
        <w:spacing w:line="520" w:lineRule="exact"/>
        <w:ind w:firstLineChars="200" w:firstLine="640"/>
        <w:rPr>
          <w:rFonts w:eastAsia="仿宋_GB2312"/>
          <w:kern w:val="0"/>
          <w:sz w:val="32"/>
          <w:szCs w:val="32"/>
          <w:lang w:val="zh-CN"/>
        </w:rPr>
      </w:pPr>
      <w:r w:rsidRPr="00640B84">
        <w:rPr>
          <w:rFonts w:eastAsia="仿宋_GB2312"/>
          <w:kern w:val="0"/>
          <w:sz w:val="32"/>
          <w:szCs w:val="32"/>
        </w:rPr>
        <w:t>产品技术要求中指标需针对终产品，选取适用的项目制定，且性能指标不低于产品适用的强制性国家标准和强制性行业标准。如产品有特定设计，注册申请人还需根据产品设计特征设定相应的性能指标，并将其列入产品技术要求。对于可进行客观判定的成品定性或定量的功能性、安全性指标，需将其列入产品技术要求。</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3.2.1</w:t>
      </w:r>
      <w:r w:rsidRPr="00640B84">
        <w:rPr>
          <w:rFonts w:eastAsia="仿宋_GB2312"/>
          <w:kern w:val="0"/>
          <w:sz w:val="32"/>
          <w:szCs w:val="32"/>
        </w:rPr>
        <w:t>外观；</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lang w:val="zh-CN"/>
        </w:rPr>
        <w:t>3.2.2</w:t>
      </w:r>
      <w:r w:rsidRPr="00640B84">
        <w:rPr>
          <w:rFonts w:eastAsia="仿宋_GB2312"/>
          <w:kern w:val="0"/>
          <w:sz w:val="32"/>
          <w:szCs w:val="32"/>
          <w:lang w:val="zh-CN"/>
        </w:rPr>
        <w:t>不锈钢产品的耐腐蚀性能（如适用）；</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3.2.3</w:t>
      </w:r>
      <w:r w:rsidRPr="00640B84">
        <w:rPr>
          <w:rFonts w:eastAsia="仿宋_GB2312"/>
          <w:kern w:val="0"/>
          <w:sz w:val="32"/>
          <w:szCs w:val="32"/>
        </w:rPr>
        <w:t>金属部件硬度；</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3.2.4</w:t>
      </w:r>
      <w:r w:rsidRPr="00640B84">
        <w:rPr>
          <w:rFonts w:eastAsia="仿宋_GB2312"/>
          <w:kern w:val="0"/>
          <w:sz w:val="32"/>
          <w:szCs w:val="32"/>
        </w:rPr>
        <w:t>金属部件表面缺陷；</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3.2.5</w:t>
      </w:r>
      <w:r w:rsidRPr="00640B84">
        <w:rPr>
          <w:rFonts w:eastAsia="仿宋_GB2312"/>
          <w:kern w:val="0"/>
          <w:sz w:val="32"/>
          <w:szCs w:val="32"/>
        </w:rPr>
        <w:t>表面粗糙度；</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3.2.6</w:t>
      </w:r>
      <w:r w:rsidRPr="00640B84">
        <w:rPr>
          <w:rFonts w:eastAsia="仿宋_GB2312"/>
          <w:kern w:val="0"/>
          <w:sz w:val="32"/>
          <w:szCs w:val="32"/>
        </w:rPr>
        <w:t>关键尺寸及公差；</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3.2.7</w:t>
      </w:r>
      <w:r w:rsidRPr="00640B84">
        <w:rPr>
          <w:rFonts w:eastAsia="仿宋_GB2312"/>
          <w:kern w:val="0"/>
          <w:sz w:val="32"/>
          <w:szCs w:val="32"/>
        </w:rPr>
        <w:t>抗拉强度；</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3.2.8</w:t>
      </w:r>
      <w:r w:rsidRPr="00640B84">
        <w:rPr>
          <w:rFonts w:eastAsia="仿宋_GB2312"/>
          <w:kern w:val="0"/>
          <w:sz w:val="32"/>
          <w:szCs w:val="32"/>
        </w:rPr>
        <w:t>锁扣的锁紧力</w:t>
      </w:r>
      <w:r w:rsidRPr="00640B84">
        <w:rPr>
          <w:rFonts w:eastAsia="仿宋_GB2312"/>
          <w:kern w:val="0"/>
          <w:sz w:val="32"/>
          <w:szCs w:val="32"/>
          <w:lang w:val="zh-CN"/>
        </w:rPr>
        <w:t>（如适用）</w:t>
      </w:r>
      <w:r w:rsidRPr="00640B84">
        <w:rPr>
          <w:rFonts w:eastAsia="仿宋_GB2312"/>
          <w:kern w:val="0"/>
          <w:sz w:val="32"/>
          <w:szCs w:val="32"/>
        </w:rPr>
        <w:t>；</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3.2.9</w:t>
      </w:r>
      <w:r w:rsidRPr="00640B84">
        <w:rPr>
          <w:rFonts w:eastAsia="仿宋_GB2312"/>
          <w:kern w:val="0"/>
          <w:sz w:val="32"/>
          <w:szCs w:val="32"/>
        </w:rPr>
        <w:t>穿引弯钩</w:t>
      </w:r>
      <w:r w:rsidRPr="00640B84">
        <w:rPr>
          <w:rFonts w:eastAsia="仿宋_GB2312"/>
          <w:kern w:val="0"/>
          <w:sz w:val="32"/>
          <w:szCs w:val="32"/>
        </w:rPr>
        <w:t>/</w:t>
      </w:r>
      <w:r w:rsidRPr="00640B84">
        <w:rPr>
          <w:rFonts w:eastAsia="仿宋_GB2312"/>
          <w:kern w:val="0"/>
          <w:sz w:val="32"/>
          <w:szCs w:val="32"/>
        </w:rPr>
        <w:t>针的特性指标（如适用，包括弹性、韧性、针尖强度、使用性能等）；</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3.2.10</w:t>
      </w:r>
      <w:r w:rsidRPr="00640B84">
        <w:rPr>
          <w:rFonts w:eastAsia="仿宋_GB2312"/>
          <w:kern w:val="0"/>
          <w:sz w:val="32"/>
          <w:szCs w:val="32"/>
        </w:rPr>
        <w:t>组件间连接强度</w:t>
      </w:r>
      <w:r w:rsidRPr="00640B84">
        <w:rPr>
          <w:rFonts w:eastAsia="仿宋_GB2312"/>
          <w:kern w:val="0"/>
          <w:sz w:val="32"/>
          <w:szCs w:val="32"/>
          <w:lang w:val="zh-CN"/>
        </w:rPr>
        <w:t>（如适用）</w:t>
      </w:r>
      <w:r w:rsidRPr="00640B84">
        <w:rPr>
          <w:rFonts w:eastAsia="仿宋_GB2312"/>
          <w:kern w:val="0"/>
          <w:sz w:val="32"/>
          <w:szCs w:val="32"/>
        </w:rPr>
        <w:t>；</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3.2.11</w:t>
      </w:r>
      <w:r w:rsidRPr="00640B84">
        <w:rPr>
          <w:rFonts w:eastAsia="仿宋_GB2312"/>
          <w:kern w:val="0"/>
          <w:sz w:val="32"/>
          <w:szCs w:val="32"/>
        </w:rPr>
        <w:t>配合性能（如适用，单个组件申报时不适用）；</w:t>
      </w:r>
      <w:r w:rsidRPr="00640B84" w:rsidDel="00EF1C31">
        <w:rPr>
          <w:rFonts w:eastAsia="仿宋_GB2312"/>
          <w:kern w:val="0"/>
          <w:sz w:val="32"/>
          <w:szCs w:val="32"/>
        </w:rPr>
        <w:t xml:space="preserve"> </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3.2.12</w:t>
      </w:r>
      <w:r w:rsidRPr="00640B84">
        <w:rPr>
          <w:rFonts w:eastAsia="仿宋_GB2312"/>
          <w:kern w:val="0"/>
          <w:sz w:val="32"/>
          <w:szCs w:val="32"/>
        </w:rPr>
        <w:t>无菌（如适用）；</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3.2.13</w:t>
      </w:r>
      <w:r w:rsidRPr="00640B84">
        <w:rPr>
          <w:rFonts w:eastAsia="仿宋_GB2312"/>
          <w:kern w:val="0"/>
          <w:sz w:val="32"/>
          <w:szCs w:val="32"/>
        </w:rPr>
        <w:t>环氧乙烷残留量（如适用）；</w:t>
      </w:r>
    </w:p>
    <w:p w:rsidR="00B777C7" w:rsidRPr="00640B84" w:rsidRDefault="00B777C7" w:rsidP="00B777C7">
      <w:pPr>
        <w:spacing w:line="520" w:lineRule="exact"/>
        <w:ind w:rightChars="-32" w:right="-67" w:firstLineChars="200" w:firstLine="640"/>
        <w:rPr>
          <w:rFonts w:eastAsia="仿宋_GB2312"/>
          <w:sz w:val="32"/>
          <w:szCs w:val="32"/>
        </w:rPr>
      </w:pPr>
      <w:r w:rsidRPr="00640B84">
        <w:rPr>
          <w:rFonts w:eastAsia="仿宋_GB2312"/>
          <w:kern w:val="0"/>
          <w:sz w:val="32"/>
          <w:szCs w:val="32"/>
        </w:rPr>
        <w:t>3.3</w:t>
      </w:r>
      <w:r w:rsidRPr="00640B84">
        <w:rPr>
          <w:rFonts w:eastAsia="仿宋_GB2312"/>
          <w:sz w:val="32"/>
          <w:szCs w:val="32"/>
        </w:rPr>
        <w:t>检验方法</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lastRenderedPageBreak/>
        <w:t>产品的检验方法需根据技术性能指标设定，检验方法需优先采用国家标准</w:t>
      </w:r>
      <w:r w:rsidRPr="00640B84">
        <w:rPr>
          <w:rFonts w:eastAsia="仿宋_GB2312"/>
          <w:kern w:val="0"/>
          <w:sz w:val="32"/>
          <w:szCs w:val="32"/>
        </w:rPr>
        <w:t>/</w:t>
      </w:r>
      <w:r w:rsidRPr="00640B84">
        <w:rPr>
          <w:rFonts w:eastAsia="仿宋_GB2312"/>
          <w:kern w:val="0"/>
          <w:sz w:val="32"/>
          <w:szCs w:val="32"/>
        </w:rPr>
        <w:t>行业标准中的方法。对于相关国家标准</w:t>
      </w:r>
      <w:r w:rsidRPr="00640B84">
        <w:rPr>
          <w:rFonts w:eastAsia="仿宋_GB2312"/>
          <w:kern w:val="0"/>
          <w:sz w:val="32"/>
          <w:szCs w:val="32"/>
        </w:rPr>
        <w:t>/</w:t>
      </w:r>
      <w:r w:rsidRPr="00640B84">
        <w:rPr>
          <w:rFonts w:eastAsia="仿宋_GB2312"/>
          <w:kern w:val="0"/>
          <w:sz w:val="32"/>
          <w:szCs w:val="32"/>
        </w:rPr>
        <w:t>行业标准中不适用的条款，需说明不适用的原因。所有引用的标准注明其编号、年号或版本号。自建检验方法需提供相应的方法学依据及理论基础，同时保证检验方法具有可操作性和可重现性，必要时可以采用相应图示进行说明，文本较大的可以附录形式提供。</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3.4</w:t>
      </w:r>
      <w:r w:rsidRPr="00640B84">
        <w:rPr>
          <w:rFonts w:eastAsia="仿宋_GB2312"/>
          <w:kern w:val="0"/>
          <w:sz w:val="32"/>
          <w:szCs w:val="32"/>
        </w:rPr>
        <w:t>附录</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在附录中可更为详尽地注明产品某些描述性特性内容，如产品的结构图示；金属材料信息（如化学成分、显微组织</w:t>
      </w:r>
      <w:r w:rsidRPr="00640B84">
        <w:rPr>
          <w:rFonts w:eastAsia="仿宋_GB2312"/>
          <w:kern w:val="0"/>
          <w:sz w:val="32"/>
          <w:szCs w:val="32"/>
          <w:lang w:val="zh-CN"/>
        </w:rPr>
        <w:t>）；聚醚醚酮材料的理化性能（如红外光谱、黏度）</w:t>
      </w:r>
      <w:r w:rsidRPr="00640B84">
        <w:rPr>
          <w:rFonts w:eastAsia="仿宋_GB2312"/>
          <w:kern w:val="0"/>
          <w:sz w:val="32"/>
          <w:szCs w:val="32"/>
        </w:rPr>
        <w:t>；产品材料性能符合的标准；表面经阳极氧化工艺处理的产品，需进行表面元素定性分析；射线可探测性。</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3.5</w:t>
      </w:r>
      <w:r w:rsidRPr="00640B84">
        <w:rPr>
          <w:rFonts w:eastAsia="仿宋_GB2312"/>
          <w:kern w:val="0"/>
          <w:sz w:val="32"/>
          <w:szCs w:val="32"/>
        </w:rPr>
        <w:t>其他</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本部分仅提供了常规产品的基本性能要求，予以参考。如有不适用的项目，需予以说明。对于使用新材料、新技术、新设计或具有新作用机理、新功能的产品，需在产品技术要求中明确产品所具的有其他功能性、安全性指标，性能指标的制定需符合《医疗器械产品技术要求编写指导原则》的要求。</w:t>
      </w:r>
    </w:p>
    <w:p w:rsidR="00B777C7" w:rsidRPr="00640B84" w:rsidRDefault="00B777C7" w:rsidP="00B777C7">
      <w:pPr>
        <w:pStyle w:val="aa"/>
        <w:adjustRightInd w:val="0"/>
        <w:snapToGrid w:val="0"/>
        <w:spacing w:line="520" w:lineRule="exact"/>
        <w:ind w:firstLineChars="200" w:firstLine="640"/>
        <w:rPr>
          <w:rFonts w:ascii="Times New Roman" w:eastAsia="仿宋_GB2312" w:hAnsi="Times New Roman"/>
          <w:sz w:val="32"/>
          <w:szCs w:val="32"/>
        </w:rPr>
      </w:pPr>
      <w:r w:rsidRPr="00640B84">
        <w:rPr>
          <w:rFonts w:ascii="Times New Roman" w:eastAsia="仿宋_GB2312" w:hAnsi="Times New Roman"/>
          <w:sz w:val="32"/>
          <w:szCs w:val="32"/>
        </w:rPr>
        <w:t>4.</w:t>
      </w:r>
      <w:r w:rsidRPr="00640B84">
        <w:rPr>
          <w:rFonts w:ascii="Times New Roman" w:eastAsia="仿宋_GB2312" w:hAnsi="Times New Roman"/>
          <w:sz w:val="32"/>
          <w:szCs w:val="32"/>
        </w:rPr>
        <w:t>产品检验</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提供检验样品型号</w:t>
      </w:r>
      <w:r w:rsidRPr="00640B84">
        <w:rPr>
          <w:rFonts w:eastAsia="仿宋_GB2312"/>
          <w:kern w:val="0"/>
          <w:sz w:val="32"/>
          <w:szCs w:val="32"/>
        </w:rPr>
        <w:t>/</w:t>
      </w:r>
      <w:r w:rsidRPr="00640B84">
        <w:rPr>
          <w:rFonts w:eastAsia="仿宋_GB2312"/>
          <w:kern w:val="0"/>
          <w:sz w:val="32"/>
          <w:szCs w:val="32"/>
        </w:rPr>
        <w:t>规格的选择依据。所检验型号</w:t>
      </w:r>
      <w:r w:rsidRPr="00640B84">
        <w:rPr>
          <w:rFonts w:eastAsia="仿宋_GB2312"/>
          <w:kern w:val="0"/>
          <w:sz w:val="32"/>
          <w:szCs w:val="32"/>
        </w:rPr>
        <w:t>/</w:t>
      </w:r>
      <w:r w:rsidRPr="00640B84">
        <w:rPr>
          <w:rFonts w:eastAsia="仿宋_GB2312"/>
          <w:kern w:val="0"/>
          <w:sz w:val="32"/>
          <w:szCs w:val="32"/>
        </w:rPr>
        <w:t>规格需为能够代表本注册单元内其他型号</w:t>
      </w:r>
      <w:r w:rsidRPr="00640B84">
        <w:rPr>
          <w:rFonts w:eastAsia="仿宋_GB2312"/>
          <w:kern w:val="0"/>
          <w:sz w:val="32"/>
          <w:szCs w:val="32"/>
        </w:rPr>
        <w:t>/</w:t>
      </w:r>
      <w:r w:rsidRPr="00640B84">
        <w:rPr>
          <w:rFonts w:eastAsia="仿宋_GB2312"/>
          <w:kern w:val="0"/>
          <w:sz w:val="32"/>
          <w:szCs w:val="32"/>
        </w:rPr>
        <w:t>规格的典型产品。当申报产品包括多个型号规格，需综合考虑申报产品的原材料、结构组成、包装方式、灭菌方式、生产工艺和预期用途等影响因素。一个型号不能完全覆盖时，应选择其他型号进行相</w:t>
      </w:r>
      <w:r w:rsidRPr="00640B84">
        <w:rPr>
          <w:rFonts w:eastAsia="仿宋_GB2312"/>
          <w:kern w:val="0"/>
          <w:sz w:val="32"/>
          <w:szCs w:val="32"/>
        </w:rPr>
        <w:lastRenderedPageBreak/>
        <w:t>关性能的补充性检测。不同组件建议分别选取典型性样品进行检验。</w:t>
      </w:r>
    </w:p>
    <w:p w:rsidR="00B777C7" w:rsidRPr="00640B84" w:rsidRDefault="00B777C7" w:rsidP="00B777C7">
      <w:pPr>
        <w:spacing w:line="520" w:lineRule="exact"/>
        <w:ind w:rightChars="-32" w:right="-67" w:firstLineChars="200" w:firstLine="640"/>
        <w:rPr>
          <w:rFonts w:eastAsia="仿宋_GB2312"/>
          <w:sz w:val="32"/>
          <w:szCs w:val="32"/>
        </w:rPr>
      </w:pPr>
      <w:r w:rsidRPr="00640B84">
        <w:rPr>
          <w:rFonts w:eastAsia="仿宋_GB2312"/>
          <w:sz w:val="32"/>
          <w:szCs w:val="32"/>
        </w:rPr>
        <w:t>5.</w:t>
      </w:r>
      <w:r w:rsidRPr="00640B84">
        <w:rPr>
          <w:rFonts w:eastAsia="仿宋_GB2312"/>
          <w:sz w:val="32"/>
          <w:szCs w:val="32"/>
        </w:rPr>
        <w:t>研究资料</w:t>
      </w:r>
    </w:p>
    <w:p w:rsidR="00B777C7" w:rsidRPr="00640B84" w:rsidRDefault="00B777C7" w:rsidP="00B777C7">
      <w:pPr>
        <w:spacing w:line="520" w:lineRule="exact"/>
        <w:ind w:firstLineChars="200" w:firstLine="616"/>
        <w:rPr>
          <w:rFonts w:eastAsia="仿宋_GB2312"/>
          <w:kern w:val="0"/>
          <w:sz w:val="32"/>
          <w:szCs w:val="32"/>
        </w:rPr>
      </w:pPr>
      <w:r w:rsidRPr="00640B84">
        <w:rPr>
          <w:rFonts w:eastAsia="仿宋_GB2312"/>
          <w:spacing w:val="-6"/>
          <w:sz w:val="32"/>
          <w:szCs w:val="32"/>
        </w:rPr>
        <w:t>注册申请人需</w:t>
      </w:r>
      <w:r w:rsidRPr="00640B84">
        <w:rPr>
          <w:rFonts w:eastAsia="仿宋_GB2312"/>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sidRPr="00640B84">
        <w:rPr>
          <w:rFonts w:eastAsia="仿宋_GB2312"/>
          <w:kern w:val="0"/>
          <w:sz w:val="32"/>
          <w:szCs w:val="32"/>
        </w:rPr>
        <w:t>/</w:t>
      </w:r>
      <w:r w:rsidRPr="00640B84">
        <w:rPr>
          <w:rFonts w:eastAsia="仿宋_GB2312"/>
          <w:kern w:val="0"/>
          <w:sz w:val="32"/>
          <w:szCs w:val="32"/>
        </w:rPr>
        <w:t>或标准文本。</w:t>
      </w:r>
    </w:p>
    <w:p w:rsidR="00B777C7" w:rsidRPr="00640B84" w:rsidRDefault="00B777C7" w:rsidP="00B777C7">
      <w:pPr>
        <w:spacing w:line="520" w:lineRule="exact"/>
        <w:ind w:firstLineChars="200" w:firstLine="616"/>
        <w:rPr>
          <w:rFonts w:eastAsia="仿宋_GB2312"/>
          <w:sz w:val="32"/>
          <w:szCs w:val="32"/>
        </w:rPr>
      </w:pPr>
      <w:r w:rsidRPr="00640B84">
        <w:rPr>
          <w:rFonts w:eastAsia="仿宋_GB2312"/>
          <w:spacing w:val="-6"/>
          <w:sz w:val="32"/>
          <w:szCs w:val="32"/>
        </w:rPr>
        <w:t>注册申请人需提供产品材料、部件表面处理、产品设计相关静</w:t>
      </w:r>
      <w:r w:rsidRPr="00640B84">
        <w:rPr>
          <w:rFonts w:eastAsia="仿宋_GB2312"/>
          <w:spacing w:val="-6"/>
          <w:sz w:val="32"/>
          <w:szCs w:val="32"/>
        </w:rPr>
        <w:t>/</w:t>
      </w:r>
      <w:r w:rsidRPr="00640B84">
        <w:rPr>
          <w:rFonts w:eastAsia="仿宋_GB2312"/>
          <w:spacing w:val="-6"/>
          <w:sz w:val="32"/>
          <w:szCs w:val="32"/>
        </w:rPr>
        <w:t>动态性能等方面的</w:t>
      </w:r>
      <w:r w:rsidRPr="00640B84">
        <w:rPr>
          <w:rFonts w:eastAsia="仿宋_GB2312"/>
          <w:sz w:val="32"/>
          <w:szCs w:val="32"/>
        </w:rPr>
        <w:t>性能研究资料</w:t>
      </w:r>
      <w:r w:rsidRPr="00640B84">
        <w:rPr>
          <w:rFonts w:eastAsia="仿宋_GB2312"/>
          <w:spacing w:val="-6"/>
          <w:sz w:val="32"/>
          <w:szCs w:val="32"/>
        </w:rPr>
        <w:t>，并提供其可接受的依据，必要时，与已上市同类产品相关性能进行对比，以证明其安全有效性。</w:t>
      </w:r>
      <w:r w:rsidRPr="00640B84">
        <w:rPr>
          <w:rFonts w:eastAsia="仿宋_GB2312"/>
          <w:sz w:val="32"/>
          <w:szCs w:val="32"/>
        </w:rPr>
        <w:t>研究资料包括但不限于如下内容：</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5.1</w:t>
      </w:r>
      <w:r w:rsidRPr="00640B84">
        <w:rPr>
          <w:rFonts w:eastAsia="仿宋_GB2312"/>
          <w:sz w:val="32"/>
          <w:szCs w:val="32"/>
        </w:rPr>
        <w:t>化学</w:t>
      </w:r>
      <w:r w:rsidRPr="00640B84">
        <w:rPr>
          <w:rFonts w:eastAsia="仿宋_GB2312"/>
          <w:sz w:val="32"/>
          <w:szCs w:val="32"/>
        </w:rPr>
        <w:t>/</w:t>
      </w:r>
      <w:r w:rsidRPr="00640B84">
        <w:rPr>
          <w:rFonts w:eastAsia="仿宋_GB2312"/>
          <w:sz w:val="32"/>
          <w:szCs w:val="32"/>
        </w:rPr>
        <w:t>材料表征研究</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5.1.1</w:t>
      </w:r>
      <w:r w:rsidRPr="00640B84">
        <w:rPr>
          <w:rFonts w:eastAsia="仿宋_GB2312"/>
          <w:sz w:val="32"/>
          <w:szCs w:val="32"/>
        </w:rPr>
        <w:t>金属材料</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针对胸骨捆扎固定系统产品使用的金属材料（如钛合金、不锈钢等），需明确其材料牌号，提供符合所用材料对应标准中的相应规定的研究资料，如化学成分、显微组织、力学性能、耐腐蚀性能（如使用不锈钢材料）等研究资料。必要时，需提供后续加工过程对材料性能影响的研究资料。</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5.1.2</w:t>
      </w:r>
      <w:r w:rsidRPr="00640B84">
        <w:rPr>
          <w:rFonts w:eastAsia="仿宋_GB2312"/>
          <w:sz w:val="32"/>
          <w:szCs w:val="32"/>
        </w:rPr>
        <w:t>聚醚醚酮材料</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针对胸骨捆扎固定系统产品使用的聚醚醚酮材料，需明确其材料牌号，提供符合所用材料对应标准（参考</w:t>
      </w:r>
      <w:r w:rsidRPr="00640B84">
        <w:rPr>
          <w:rFonts w:eastAsia="仿宋_GB2312"/>
          <w:sz w:val="32"/>
          <w:szCs w:val="32"/>
        </w:rPr>
        <w:t>YY/T 0660</w:t>
      </w:r>
      <w:r w:rsidRPr="00640B84">
        <w:rPr>
          <w:rFonts w:eastAsia="仿宋_GB2312"/>
          <w:sz w:val="32"/>
          <w:szCs w:val="32"/>
        </w:rPr>
        <w:t>《外科植入物用聚醚醚酮（</w:t>
      </w:r>
      <w:r w:rsidRPr="00640B84">
        <w:rPr>
          <w:rFonts w:eastAsia="仿宋_GB2312"/>
          <w:sz w:val="32"/>
          <w:szCs w:val="32"/>
        </w:rPr>
        <w:t>PEEK</w:t>
      </w:r>
      <w:r w:rsidRPr="00640B84">
        <w:rPr>
          <w:rFonts w:eastAsia="仿宋_GB2312"/>
          <w:sz w:val="32"/>
          <w:szCs w:val="32"/>
        </w:rPr>
        <w:t>）聚合物的标准规范》）中的相应规定的研究资料，如理化性能、制品的典型性能等研究资料。必要时，需提供后续加工过程对材料性能影响的研究资料。</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lastRenderedPageBreak/>
        <w:t>5.1.3</w:t>
      </w:r>
      <w:r w:rsidRPr="00640B84">
        <w:rPr>
          <w:rFonts w:eastAsia="仿宋_GB2312"/>
          <w:sz w:val="32"/>
          <w:szCs w:val="32"/>
        </w:rPr>
        <w:t>部件表面处理</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对于表面经过阳极氧化的钛合金、纯钛制成的产品，需要明确阳极氧化的类型（着色阳极氧化或黑灰色阳极氧化），具体的阳极氧化工艺（具体包括电解液、电流、电压、氧化前后的具体工艺流程和组件的表面状态、清洗方法、残留检测方法等），并对基体材料进行化学成分测试，对阳极氧化层进行表面元素定性分析。对于着色阳极氧化产品，需额外提交颜色和色差相关验证资料；对于黑灰色阳极氧化产品，需额外提交阳极氧化膜膜厚、开路电位、力学性能（包括抗划痕性、硬度试验）相关验证资料。</w:t>
      </w:r>
    </w:p>
    <w:p w:rsidR="00B777C7" w:rsidRPr="00640B84" w:rsidRDefault="00B777C7" w:rsidP="00B777C7">
      <w:pPr>
        <w:spacing w:line="520" w:lineRule="exact"/>
        <w:ind w:firstLineChars="200" w:firstLine="640"/>
        <w:rPr>
          <w:rFonts w:eastAsia="仿宋_GB2312"/>
          <w:bCs/>
          <w:sz w:val="32"/>
          <w:szCs w:val="32"/>
        </w:rPr>
      </w:pPr>
      <w:r w:rsidRPr="00640B84">
        <w:rPr>
          <w:rFonts w:eastAsia="仿宋_GB2312"/>
          <w:sz w:val="32"/>
          <w:szCs w:val="32"/>
        </w:rPr>
        <w:t>5.2</w:t>
      </w:r>
      <w:r w:rsidRPr="00640B84">
        <w:rPr>
          <w:rFonts w:eastAsia="仿宋_GB2312"/>
          <w:bCs/>
          <w:sz w:val="32"/>
          <w:szCs w:val="32"/>
        </w:rPr>
        <w:t>物理和机械性能研究</w:t>
      </w:r>
    </w:p>
    <w:p w:rsidR="00B777C7" w:rsidRPr="00640B84" w:rsidRDefault="00B777C7" w:rsidP="00B777C7">
      <w:pPr>
        <w:spacing w:line="520" w:lineRule="exact"/>
        <w:ind w:firstLineChars="200" w:firstLine="640"/>
        <w:rPr>
          <w:rFonts w:eastAsia="仿宋_GB2312"/>
          <w:kern w:val="0"/>
          <w:sz w:val="32"/>
          <w:szCs w:val="32"/>
          <w:lang w:val="zh-CN"/>
        </w:rPr>
      </w:pPr>
      <w:r w:rsidRPr="00640B84">
        <w:rPr>
          <w:rFonts w:eastAsia="仿宋_GB2312"/>
          <w:kern w:val="0"/>
          <w:sz w:val="32"/>
          <w:szCs w:val="32"/>
          <w:lang w:val="zh-CN"/>
        </w:rPr>
        <w:t>对于产品的机械性能研究，注册申请人需依据产品在各项试验中的受力情况、产品的结构设计、规格尺寸等因素，分别选取最差情况开展试验，并提供最差情况选择依据。</w:t>
      </w:r>
    </w:p>
    <w:p w:rsidR="00B777C7" w:rsidRPr="00640B84" w:rsidRDefault="00B777C7" w:rsidP="00B777C7">
      <w:pPr>
        <w:spacing w:line="520" w:lineRule="exact"/>
        <w:ind w:firstLineChars="200" w:firstLine="640"/>
        <w:rPr>
          <w:rFonts w:eastAsia="仿宋_GB2312"/>
          <w:kern w:val="0"/>
          <w:sz w:val="32"/>
          <w:szCs w:val="32"/>
          <w:lang w:val="zh-CN"/>
        </w:rPr>
      </w:pPr>
      <w:r w:rsidRPr="00640B84">
        <w:rPr>
          <w:rFonts w:eastAsia="仿宋_GB2312"/>
          <w:kern w:val="0"/>
          <w:sz w:val="32"/>
          <w:szCs w:val="32"/>
          <w:lang w:val="zh-CN"/>
        </w:rPr>
        <w:t>5.2.1</w:t>
      </w:r>
      <w:r w:rsidRPr="00640B84">
        <w:rPr>
          <w:rFonts w:eastAsia="仿宋_GB2312"/>
          <w:kern w:val="0"/>
          <w:sz w:val="32"/>
          <w:szCs w:val="32"/>
          <w:lang w:val="zh-CN"/>
        </w:rPr>
        <w:t>组件与系统的物理和机械性能</w:t>
      </w:r>
    </w:p>
    <w:p w:rsidR="00B777C7" w:rsidRPr="00640B84" w:rsidRDefault="00B777C7" w:rsidP="00B777C7">
      <w:pPr>
        <w:spacing w:line="520" w:lineRule="exact"/>
        <w:ind w:firstLineChars="200" w:firstLine="640"/>
        <w:rPr>
          <w:rFonts w:eastAsia="仿宋_GB2312"/>
          <w:kern w:val="0"/>
          <w:sz w:val="32"/>
          <w:szCs w:val="32"/>
          <w:lang w:val="zh-CN"/>
        </w:rPr>
      </w:pPr>
      <w:r w:rsidRPr="00640B84">
        <w:rPr>
          <w:rFonts w:eastAsia="仿宋_GB2312"/>
          <w:sz w:val="32"/>
          <w:szCs w:val="32"/>
        </w:rPr>
        <w:t>胸骨捆扎固定系统</w:t>
      </w:r>
      <w:r w:rsidRPr="00640B84">
        <w:rPr>
          <w:rFonts w:eastAsia="仿宋_GB2312"/>
          <w:kern w:val="0"/>
          <w:sz w:val="32"/>
          <w:szCs w:val="32"/>
          <w:lang w:val="zh-CN"/>
        </w:rPr>
        <w:t>相关性能研究项目可参考下表</w:t>
      </w:r>
      <w:r w:rsidRPr="00640B84">
        <w:rPr>
          <w:rFonts w:eastAsia="仿宋_GB2312"/>
          <w:kern w:val="0"/>
          <w:sz w:val="32"/>
          <w:szCs w:val="32"/>
          <w:lang w:val="zh-CN"/>
        </w:rPr>
        <w:t>1</w:t>
      </w:r>
      <w:r w:rsidRPr="00640B84">
        <w:rPr>
          <w:rFonts w:eastAsia="仿宋_GB2312"/>
          <w:kern w:val="0"/>
          <w:sz w:val="32"/>
          <w:szCs w:val="32"/>
          <w:lang w:val="zh-CN"/>
        </w:rPr>
        <w:t>，注册申请人可结合产品特点，选取适用的项目开展性能研究，对于认为不适用的项目，请说明理由。对于最差情况的选择，最恶劣条件下的</w:t>
      </w:r>
      <w:r w:rsidRPr="00640B84">
        <w:rPr>
          <w:rFonts w:eastAsia="仿宋_GB2312"/>
          <w:sz w:val="32"/>
          <w:szCs w:val="32"/>
        </w:rPr>
        <w:t>胸骨捆扎固定</w:t>
      </w:r>
      <w:r w:rsidRPr="00640B84">
        <w:rPr>
          <w:rFonts w:eastAsia="仿宋_GB2312"/>
          <w:kern w:val="0"/>
          <w:sz w:val="32"/>
          <w:szCs w:val="32"/>
          <w:lang w:val="zh-CN"/>
        </w:rPr>
        <w:t>结构，通常取决于产品的设计和试验的项目。不同的试验类型中最薄弱、最容易失效的组件也各不相同。进行试验的固定系统可选用有限元模拟方法分析最恶劣条件下的结构，可分析同一结构内的不同互连机构、或同一互连机构在不同结构中的受力模型。建议注册申请人提供充分依据以论述各试验项目最差情况选择的合理性。</w:t>
      </w:r>
    </w:p>
    <w:p w:rsidR="00B777C7" w:rsidRPr="00640B84" w:rsidRDefault="00B777C7" w:rsidP="00B777C7">
      <w:pPr>
        <w:spacing w:line="520" w:lineRule="exact"/>
        <w:ind w:firstLineChars="200" w:firstLine="640"/>
        <w:rPr>
          <w:rFonts w:eastAsia="仿宋_GB2312"/>
          <w:kern w:val="0"/>
          <w:sz w:val="32"/>
          <w:szCs w:val="32"/>
          <w:lang w:val="zh-CN"/>
        </w:rPr>
      </w:pPr>
    </w:p>
    <w:p w:rsidR="00B777C7" w:rsidRPr="008A7314" w:rsidRDefault="00B777C7" w:rsidP="00B777C7">
      <w:pPr>
        <w:spacing w:line="520" w:lineRule="exact"/>
        <w:ind w:firstLineChars="200" w:firstLine="560"/>
        <w:jc w:val="center"/>
        <w:rPr>
          <w:rFonts w:ascii="方正小标宋简体" w:eastAsia="方正小标宋简体"/>
          <w:sz w:val="28"/>
          <w:szCs w:val="28"/>
        </w:rPr>
      </w:pPr>
      <w:r w:rsidRPr="008A7314">
        <w:rPr>
          <w:rFonts w:ascii="方正小标宋简体" w:eastAsia="方正小标宋简体" w:hint="eastAsia"/>
          <w:sz w:val="28"/>
          <w:szCs w:val="28"/>
        </w:rPr>
        <w:lastRenderedPageBreak/>
        <w:t>表1物理和机械性能测试项目</w:t>
      </w:r>
    </w:p>
    <w:tbl>
      <w:tblPr>
        <w:tblStyle w:val="af6"/>
        <w:tblW w:w="0" w:type="auto"/>
        <w:tblLook w:val="04A0" w:firstRow="1" w:lastRow="0" w:firstColumn="1" w:lastColumn="0" w:noHBand="0" w:noVBand="1"/>
      </w:tblPr>
      <w:tblGrid>
        <w:gridCol w:w="1242"/>
        <w:gridCol w:w="2268"/>
        <w:gridCol w:w="5012"/>
      </w:tblGrid>
      <w:tr w:rsidR="00B777C7" w:rsidRPr="00640B84" w:rsidTr="00FB663A">
        <w:tc>
          <w:tcPr>
            <w:tcW w:w="3510" w:type="dxa"/>
            <w:gridSpan w:val="2"/>
          </w:tcPr>
          <w:p w:rsidR="00B777C7" w:rsidRPr="00640B84" w:rsidRDefault="00B777C7" w:rsidP="00FB663A">
            <w:pPr>
              <w:spacing w:line="400" w:lineRule="exact"/>
              <w:jc w:val="center"/>
              <w:rPr>
                <w:rFonts w:eastAsia="黑体"/>
                <w:sz w:val="28"/>
                <w:szCs w:val="28"/>
              </w:rPr>
            </w:pPr>
            <w:r w:rsidRPr="00640B84">
              <w:rPr>
                <w:rFonts w:eastAsia="黑体"/>
                <w:sz w:val="28"/>
                <w:szCs w:val="28"/>
              </w:rPr>
              <w:t>分类</w:t>
            </w:r>
          </w:p>
        </w:tc>
        <w:tc>
          <w:tcPr>
            <w:tcW w:w="5012" w:type="dxa"/>
            <w:vAlign w:val="center"/>
          </w:tcPr>
          <w:p w:rsidR="00B777C7" w:rsidRPr="00640B84" w:rsidRDefault="00B777C7" w:rsidP="00FB663A">
            <w:pPr>
              <w:spacing w:line="400" w:lineRule="exact"/>
              <w:jc w:val="center"/>
              <w:rPr>
                <w:rFonts w:eastAsia="黑体"/>
                <w:sz w:val="28"/>
                <w:szCs w:val="28"/>
              </w:rPr>
            </w:pPr>
            <w:r w:rsidRPr="00640B84">
              <w:rPr>
                <w:rFonts w:eastAsia="黑体"/>
                <w:sz w:val="28"/>
                <w:szCs w:val="28"/>
              </w:rPr>
              <w:t>项目</w:t>
            </w:r>
          </w:p>
        </w:tc>
      </w:tr>
      <w:tr w:rsidR="00B777C7" w:rsidRPr="00640B84" w:rsidTr="00FB663A">
        <w:tc>
          <w:tcPr>
            <w:tcW w:w="1242" w:type="dxa"/>
            <w:vMerge w:val="restart"/>
            <w:vAlign w:val="center"/>
          </w:tcPr>
          <w:p w:rsidR="00B777C7" w:rsidRPr="008A7314" w:rsidRDefault="00B777C7" w:rsidP="00FB663A">
            <w:pPr>
              <w:spacing w:line="400" w:lineRule="exact"/>
              <w:jc w:val="center"/>
              <w:rPr>
                <w:rFonts w:ascii="黑体" w:eastAsia="黑体" w:hAnsi="黑体"/>
                <w:sz w:val="28"/>
                <w:szCs w:val="28"/>
              </w:rPr>
            </w:pPr>
            <w:r w:rsidRPr="008A7314">
              <w:rPr>
                <w:rFonts w:ascii="黑体" w:eastAsia="黑体" w:hAnsi="黑体"/>
                <w:sz w:val="28"/>
                <w:szCs w:val="28"/>
              </w:rPr>
              <w:t>组件</w:t>
            </w:r>
          </w:p>
        </w:tc>
        <w:tc>
          <w:tcPr>
            <w:tcW w:w="2268"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柔性金属丝</w:t>
            </w:r>
          </w:p>
        </w:tc>
        <w:tc>
          <w:tcPr>
            <w:tcW w:w="5012"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抗拉强度、伸长率、反复弯曲试验、扭转试验、动静态打结牢固度</w:t>
            </w:r>
          </w:p>
        </w:tc>
      </w:tr>
      <w:tr w:rsidR="00B777C7" w:rsidRPr="00640B84" w:rsidTr="00FB663A">
        <w:tc>
          <w:tcPr>
            <w:tcW w:w="1242" w:type="dxa"/>
            <w:vMerge/>
          </w:tcPr>
          <w:p w:rsidR="00B777C7" w:rsidRPr="008A7314" w:rsidRDefault="00B777C7" w:rsidP="00FB663A">
            <w:pPr>
              <w:spacing w:line="400" w:lineRule="exact"/>
              <w:jc w:val="center"/>
              <w:rPr>
                <w:rFonts w:ascii="黑体" w:eastAsia="黑体" w:hAnsi="黑体"/>
                <w:sz w:val="28"/>
                <w:szCs w:val="28"/>
              </w:rPr>
            </w:pPr>
          </w:p>
        </w:tc>
        <w:tc>
          <w:tcPr>
            <w:tcW w:w="2268"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结扎带</w:t>
            </w:r>
          </w:p>
        </w:tc>
        <w:tc>
          <w:tcPr>
            <w:tcW w:w="5012"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抗拉强度</w:t>
            </w:r>
          </w:p>
        </w:tc>
      </w:tr>
      <w:tr w:rsidR="00B777C7" w:rsidRPr="00640B84" w:rsidTr="00FB663A">
        <w:tc>
          <w:tcPr>
            <w:tcW w:w="1242" w:type="dxa"/>
            <w:vMerge/>
          </w:tcPr>
          <w:p w:rsidR="00B777C7" w:rsidRPr="008A7314" w:rsidRDefault="00B777C7" w:rsidP="00FB663A">
            <w:pPr>
              <w:spacing w:line="400" w:lineRule="exact"/>
              <w:jc w:val="center"/>
              <w:rPr>
                <w:rFonts w:ascii="黑体" w:eastAsia="黑体" w:hAnsi="黑体"/>
                <w:sz w:val="28"/>
                <w:szCs w:val="28"/>
              </w:rPr>
            </w:pPr>
          </w:p>
        </w:tc>
        <w:tc>
          <w:tcPr>
            <w:tcW w:w="2268"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锁扣</w:t>
            </w:r>
          </w:p>
        </w:tc>
        <w:tc>
          <w:tcPr>
            <w:tcW w:w="5012"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锁紧力</w:t>
            </w:r>
          </w:p>
        </w:tc>
      </w:tr>
      <w:tr w:rsidR="00B777C7" w:rsidRPr="00640B84" w:rsidTr="00FB663A">
        <w:tc>
          <w:tcPr>
            <w:tcW w:w="1242" w:type="dxa"/>
            <w:vMerge/>
          </w:tcPr>
          <w:p w:rsidR="00B777C7" w:rsidRPr="008A7314" w:rsidRDefault="00B777C7" w:rsidP="00FB663A">
            <w:pPr>
              <w:spacing w:line="400" w:lineRule="exact"/>
              <w:jc w:val="center"/>
              <w:rPr>
                <w:rFonts w:ascii="黑体" w:eastAsia="黑体" w:hAnsi="黑体"/>
                <w:sz w:val="28"/>
                <w:szCs w:val="28"/>
              </w:rPr>
            </w:pPr>
          </w:p>
        </w:tc>
        <w:tc>
          <w:tcPr>
            <w:tcW w:w="2268"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穿引弯钩</w:t>
            </w:r>
            <w:r w:rsidRPr="00640B84">
              <w:rPr>
                <w:rFonts w:eastAsia="仿宋_GB2312"/>
                <w:sz w:val="28"/>
                <w:szCs w:val="28"/>
              </w:rPr>
              <w:t>/</w:t>
            </w:r>
            <w:r w:rsidRPr="00640B84">
              <w:rPr>
                <w:rFonts w:eastAsia="仿宋_GB2312"/>
                <w:sz w:val="28"/>
                <w:szCs w:val="28"/>
              </w:rPr>
              <w:t>针</w:t>
            </w:r>
          </w:p>
        </w:tc>
        <w:tc>
          <w:tcPr>
            <w:tcW w:w="5012"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硬度、弹性、韧性、针尖强度、刺穿力、切割力、针线连接强力</w:t>
            </w:r>
          </w:p>
        </w:tc>
      </w:tr>
      <w:tr w:rsidR="00B777C7" w:rsidRPr="00640B84" w:rsidTr="00FB663A">
        <w:tc>
          <w:tcPr>
            <w:tcW w:w="1242" w:type="dxa"/>
            <w:vAlign w:val="center"/>
          </w:tcPr>
          <w:p w:rsidR="00B777C7" w:rsidRPr="008A7314" w:rsidRDefault="00B777C7" w:rsidP="00FB663A">
            <w:pPr>
              <w:spacing w:line="400" w:lineRule="exact"/>
              <w:jc w:val="center"/>
              <w:rPr>
                <w:rFonts w:ascii="黑体" w:eastAsia="黑体" w:hAnsi="黑体"/>
                <w:sz w:val="28"/>
                <w:szCs w:val="28"/>
              </w:rPr>
            </w:pPr>
            <w:r w:rsidRPr="008A7314">
              <w:rPr>
                <w:rFonts w:ascii="黑体" w:eastAsia="黑体" w:hAnsi="黑体"/>
                <w:sz w:val="28"/>
                <w:szCs w:val="28"/>
              </w:rPr>
              <w:t>系统</w:t>
            </w:r>
          </w:p>
        </w:tc>
        <w:tc>
          <w:tcPr>
            <w:tcW w:w="2268"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捆扎固定系统</w:t>
            </w:r>
          </w:p>
        </w:tc>
        <w:tc>
          <w:tcPr>
            <w:tcW w:w="5012" w:type="dxa"/>
            <w:vAlign w:val="center"/>
          </w:tcPr>
          <w:p w:rsidR="00B777C7" w:rsidRPr="00640B84" w:rsidRDefault="00B777C7" w:rsidP="00FB663A">
            <w:pPr>
              <w:spacing w:line="400" w:lineRule="exact"/>
              <w:jc w:val="center"/>
              <w:rPr>
                <w:rFonts w:eastAsia="仿宋_GB2312"/>
                <w:sz w:val="28"/>
                <w:szCs w:val="28"/>
              </w:rPr>
            </w:pPr>
            <w:r w:rsidRPr="00640B84">
              <w:rPr>
                <w:rFonts w:eastAsia="仿宋_GB2312"/>
                <w:sz w:val="28"/>
                <w:szCs w:val="28"/>
              </w:rPr>
              <w:t>组件间连接强度、系统的动静态固定强度</w:t>
            </w:r>
          </w:p>
        </w:tc>
      </w:tr>
    </w:tbl>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关于表</w:t>
      </w:r>
      <w:r w:rsidRPr="00640B84">
        <w:rPr>
          <w:rFonts w:eastAsia="仿宋_GB2312"/>
          <w:kern w:val="0"/>
          <w:sz w:val="32"/>
          <w:szCs w:val="32"/>
        </w:rPr>
        <w:t>1</w:t>
      </w:r>
      <w:r w:rsidRPr="00640B84">
        <w:rPr>
          <w:rFonts w:eastAsia="仿宋_GB2312"/>
          <w:kern w:val="0"/>
          <w:sz w:val="32"/>
          <w:szCs w:val="32"/>
        </w:rPr>
        <w:t>中提及的动静态试验，请提供试验方法、试验参数（如加载模式、加载载荷、试验配置、动态试验循环次数等）等内容的确定依据，分析论证产品动静态固定性能、疲劳后打结松脱、疲劳后锁扣的松动和移位的可接受性。建议结合开胸术中胸骨固定的固定方式（打结、锁扣锁紧等）、产品预期承受的载荷（呼吸、扩胸运动、剧烈咳嗽等）、临床预期使用期限等因素确定试验方法和试验参数。</w:t>
      </w:r>
    </w:p>
    <w:p w:rsidR="00B777C7" w:rsidRPr="00640B84" w:rsidRDefault="00B777C7" w:rsidP="00B777C7">
      <w:pPr>
        <w:spacing w:line="520" w:lineRule="exact"/>
        <w:ind w:rightChars="-32" w:right="-67" w:firstLineChars="200" w:firstLine="640"/>
        <w:rPr>
          <w:rFonts w:eastAsia="仿宋_GB2312"/>
          <w:sz w:val="32"/>
          <w:szCs w:val="32"/>
        </w:rPr>
      </w:pPr>
      <w:r w:rsidRPr="00640B84">
        <w:rPr>
          <w:rFonts w:eastAsia="仿宋_GB2312"/>
          <w:sz w:val="32"/>
          <w:szCs w:val="32"/>
        </w:rPr>
        <w:t>5.2.2</w:t>
      </w:r>
      <w:r w:rsidRPr="00640B84">
        <w:rPr>
          <w:rFonts w:eastAsia="仿宋_GB2312"/>
          <w:sz w:val="32"/>
          <w:szCs w:val="32"/>
        </w:rPr>
        <w:t>腐蚀和磨损</w:t>
      </w:r>
    </w:p>
    <w:p w:rsidR="00B777C7" w:rsidRPr="00640B84" w:rsidRDefault="00B777C7" w:rsidP="00B777C7">
      <w:pPr>
        <w:spacing w:line="520" w:lineRule="exact"/>
        <w:ind w:rightChars="-32" w:right="-67" w:firstLineChars="200" w:firstLine="640"/>
        <w:rPr>
          <w:rFonts w:eastAsia="仿宋_GB2312"/>
          <w:sz w:val="32"/>
          <w:szCs w:val="32"/>
        </w:rPr>
      </w:pPr>
      <w:r w:rsidRPr="00640B84">
        <w:rPr>
          <w:rFonts w:eastAsia="仿宋_GB2312"/>
          <w:sz w:val="32"/>
          <w:szCs w:val="32"/>
        </w:rPr>
        <w:t>作为组合使用的组件材料不相同的，建议评估其腐蚀风险并提供风险可接受的支持性资料，需综合考虑材料的种类、产品植入时间等内容，必要时开展腐蚀性能的研究，评价腐蚀对产品材料性能（如化学成分、显微组织等），表面形貌，外观，腐蚀电位、产品力学性能等的影响。</w:t>
      </w:r>
    </w:p>
    <w:p w:rsidR="00B777C7" w:rsidRPr="00640B84" w:rsidRDefault="00B777C7" w:rsidP="00B777C7">
      <w:pPr>
        <w:spacing w:line="520" w:lineRule="exact"/>
        <w:ind w:rightChars="-32" w:right="-67" w:firstLineChars="200" w:firstLine="640"/>
        <w:rPr>
          <w:rFonts w:eastAsia="仿宋_GB2312"/>
          <w:kern w:val="0"/>
          <w:sz w:val="32"/>
          <w:szCs w:val="32"/>
        </w:rPr>
      </w:pPr>
      <w:r w:rsidRPr="00640B84">
        <w:rPr>
          <w:rFonts w:eastAsia="楷体_GB2312"/>
          <w:sz w:val="32"/>
          <w:szCs w:val="32"/>
        </w:rPr>
        <w:t>5.3</w:t>
      </w:r>
      <w:r w:rsidRPr="00640B84">
        <w:rPr>
          <w:rFonts w:eastAsia="仿宋_GB2312"/>
          <w:sz w:val="32"/>
          <w:szCs w:val="32"/>
        </w:rPr>
        <w:t>生物学特性研究</w:t>
      </w:r>
    </w:p>
    <w:p w:rsidR="00B777C7" w:rsidRPr="00640B84" w:rsidRDefault="00B777C7" w:rsidP="00B777C7">
      <w:pPr>
        <w:widowControl/>
        <w:spacing w:line="520" w:lineRule="exact"/>
        <w:ind w:firstLineChars="200" w:firstLine="640"/>
        <w:textAlignment w:val="center"/>
        <w:rPr>
          <w:rFonts w:eastAsia="仿宋_GB2312"/>
          <w:sz w:val="32"/>
          <w:szCs w:val="32"/>
        </w:rPr>
      </w:pPr>
      <w:r w:rsidRPr="00640B84">
        <w:rPr>
          <w:rFonts w:eastAsia="仿宋_GB2312"/>
          <w:sz w:val="32"/>
          <w:szCs w:val="32"/>
        </w:rPr>
        <w:t>产品的生物相容性评价需涵盖终产品，按照</w:t>
      </w:r>
      <w:r w:rsidRPr="00640B84">
        <w:rPr>
          <w:rFonts w:eastAsia="仿宋_GB2312"/>
          <w:sz w:val="32"/>
          <w:szCs w:val="32"/>
        </w:rPr>
        <w:t>GB/T 16886.1</w:t>
      </w:r>
      <w:r w:rsidRPr="00640B84">
        <w:rPr>
          <w:rFonts w:eastAsia="仿宋_GB2312"/>
          <w:sz w:val="32"/>
          <w:szCs w:val="32"/>
        </w:rPr>
        <w:t>《医疗器械生物学评价第</w:t>
      </w:r>
      <w:r w:rsidRPr="00640B84">
        <w:rPr>
          <w:rFonts w:eastAsia="仿宋_GB2312"/>
          <w:sz w:val="32"/>
          <w:szCs w:val="32"/>
        </w:rPr>
        <w:t>1</w:t>
      </w:r>
      <w:r w:rsidRPr="00640B84">
        <w:rPr>
          <w:rFonts w:eastAsia="仿宋_GB2312"/>
          <w:sz w:val="32"/>
          <w:szCs w:val="32"/>
        </w:rPr>
        <w:t>部分：风险管理过程中的评价与试验》中的系统方法框图及《国家食品药品监督管理局关于印发医疗器械生物学评价和审查指南的通知》中的审</w:t>
      </w:r>
      <w:r w:rsidRPr="00640B84">
        <w:rPr>
          <w:rFonts w:eastAsia="仿宋_GB2312"/>
          <w:sz w:val="32"/>
          <w:szCs w:val="32"/>
        </w:rPr>
        <w:lastRenderedPageBreak/>
        <w:t>查要点进行风险评价，需充分考虑电偶腐蚀、表面处理等因素的影响。生物学评定终点一般包括细胞毒性、致敏、刺激或皮内反应、材料介导的致热性、急性全身毒性、亚急性毒性、慢性毒性、亚慢性毒性、植入反应、遗传毒性和致癌性，必要时根据</w:t>
      </w:r>
      <w:r w:rsidRPr="00640B84">
        <w:rPr>
          <w:rFonts w:eastAsia="仿宋_GB2312"/>
          <w:sz w:val="32"/>
          <w:szCs w:val="32"/>
        </w:rPr>
        <w:t>GB/T 16886</w:t>
      </w:r>
      <w:r w:rsidRPr="00640B84">
        <w:rPr>
          <w:rFonts w:eastAsia="仿宋_GB2312"/>
          <w:sz w:val="32"/>
          <w:szCs w:val="32"/>
        </w:rPr>
        <w:t>系列标准进行生物学试验。</w:t>
      </w:r>
    </w:p>
    <w:p w:rsidR="00B777C7" w:rsidRPr="00640B84" w:rsidRDefault="00B777C7" w:rsidP="00B777C7">
      <w:pPr>
        <w:widowControl/>
        <w:spacing w:line="520" w:lineRule="exact"/>
        <w:ind w:firstLineChars="200" w:firstLine="640"/>
        <w:textAlignment w:val="center"/>
        <w:rPr>
          <w:rFonts w:eastAsia="仿宋_GB2312"/>
          <w:sz w:val="32"/>
          <w:szCs w:val="32"/>
        </w:rPr>
      </w:pPr>
      <w:r w:rsidRPr="00640B84">
        <w:rPr>
          <w:rFonts w:eastAsia="仿宋_GB2312"/>
          <w:sz w:val="32"/>
          <w:szCs w:val="32"/>
        </w:rPr>
        <w:t>对于产品表面经阳极氧化工艺处理的器械，注册申请人可按照</w:t>
      </w:r>
      <w:r w:rsidRPr="00640B84">
        <w:rPr>
          <w:rFonts w:eastAsia="仿宋_GB2312"/>
          <w:sz w:val="32"/>
          <w:szCs w:val="32"/>
        </w:rPr>
        <w:t>YY/T 1615</w:t>
      </w:r>
      <w:r w:rsidRPr="00640B84">
        <w:rPr>
          <w:rFonts w:eastAsia="仿宋_GB2312"/>
          <w:sz w:val="32"/>
          <w:szCs w:val="32"/>
        </w:rPr>
        <w:t>推荐的生物学试验方法（如细胞毒性试验）评价器械的生物学特性。若存在与基体材料不一致的其他元素时，注册申请人需结合工艺验证论述表面元素存在的合理性及安全性，必要时按照</w:t>
      </w:r>
      <w:r w:rsidRPr="00640B84">
        <w:rPr>
          <w:rFonts w:eastAsia="仿宋_GB2312"/>
          <w:sz w:val="32"/>
          <w:szCs w:val="32"/>
        </w:rPr>
        <w:t>GB/T 16886</w:t>
      </w:r>
      <w:r w:rsidRPr="00640B84">
        <w:rPr>
          <w:rFonts w:eastAsia="仿宋_GB2312"/>
          <w:sz w:val="32"/>
          <w:szCs w:val="32"/>
        </w:rPr>
        <w:t>系列标准开展生物学试验。</w:t>
      </w:r>
    </w:p>
    <w:p w:rsidR="00B777C7" w:rsidRPr="00640B84" w:rsidRDefault="00B777C7" w:rsidP="00B777C7">
      <w:pPr>
        <w:widowControl/>
        <w:spacing w:line="520" w:lineRule="exact"/>
        <w:ind w:firstLineChars="200" w:firstLine="640"/>
        <w:textAlignment w:val="center"/>
        <w:rPr>
          <w:rFonts w:eastAsia="仿宋_GB2312"/>
          <w:kern w:val="0"/>
          <w:sz w:val="32"/>
          <w:szCs w:val="32"/>
        </w:rPr>
      </w:pPr>
      <w:r w:rsidRPr="00640B84">
        <w:rPr>
          <w:rFonts w:eastAsia="楷体_GB2312"/>
          <w:sz w:val="32"/>
          <w:szCs w:val="32"/>
        </w:rPr>
        <w:t>5.4</w:t>
      </w:r>
      <w:r w:rsidRPr="00640B84">
        <w:rPr>
          <w:rFonts w:eastAsia="仿宋_GB2312"/>
          <w:kern w:val="0"/>
          <w:sz w:val="32"/>
          <w:szCs w:val="32"/>
        </w:rPr>
        <w:t>清洗和灭菌研究</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5.4.1</w:t>
      </w:r>
      <w:r w:rsidRPr="00640B84">
        <w:rPr>
          <w:rFonts w:eastAsia="仿宋_GB2312"/>
          <w:kern w:val="0"/>
          <w:sz w:val="32"/>
          <w:szCs w:val="32"/>
        </w:rPr>
        <w:t>清洗</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5.4.2</w:t>
      </w:r>
      <w:r w:rsidRPr="00640B84">
        <w:rPr>
          <w:rFonts w:eastAsia="仿宋_GB2312"/>
          <w:kern w:val="0"/>
          <w:sz w:val="32"/>
          <w:szCs w:val="32"/>
        </w:rPr>
        <w:t>灭菌研究</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描述用于保证产品无菌的质量保证体系，明确灭菌工艺（方法和参数）和无菌保证水平（</w:t>
      </w:r>
      <w:r w:rsidRPr="00640B84">
        <w:rPr>
          <w:rFonts w:eastAsia="仿宋_GB2312"/>
          <w:kern w:val="0"/>
          <w:sz w:val="32"/>
          <w:szCs w:val="32"/>
        </w:rPr>
        <w:t>SAL</w:t>
      </w:r>
      <w:r w:rsidRPr="00640B84">
        <w:rPr>
          <w:rFonts w:eastAsia="仿宋_GB2312"/>
          <w:kern w:val="0"/>
          <w:sz w:val="32"/>
          <w:szCs w:val="32"/>
        </w:rPr>
        <w:t>）。产品的无菌保证水平（</w:t>
      </w:r>
      <w:r w:rsidRPr="00640B84">
        <w:rPr>
          <w:rFonts w:eastAsia="仿宋_GB2312"/>
          <w:kern w:val="0"/>
          <w:sz w:val="32"/>
          <w:szCs w:val="32"/>
        </w:rPr>
        <w:t>SAL</w:t>
      </w:r>
      <w:r w:rsidRPr="00640B84">
        <w:rPr>
          <w:rFonts w:eastAsia="仿宋_GB2312"/>
          <w:kern w:val="0"/>
          <w:sz w:val="32"/>
          <w:szCs w:val="32"/>
        </w:rPr>
        <w:t>）需达到</w:t>
      </w:r>
      <w:r w:rsidRPr="00640B84">
        <w:rPr>
          <w:rFonts w:eastAsia="仿宋_GB2312"/>
          <w:kern w:val="0"/>
          <w:sz w:val="32"/>
          <w:szCs w:val="32"/>
        </w:rPr>
        <w:t>10</w:t>
      </w:r>
      <w:r w:rsidRPr="00640B84">
        <w:rPr>
          <w:rFonts w:eastAsia="仿宋_GB2312"/>
          <w:kern w:val="0"/>
          <w:sz w:val="32"/>
          <w:szCs w:val="32"/>
          <w:vertAlign w:val="superscript"/>
        </w:rPr>
        <w:t>-6</w:t>
      </w:r>
      <w:r w:rsidRPr="00640B84">
        <w:rPr>
          <w:rFonts w:eastAsia="仿宋_GB2312"/>
          <w:kern w:val="0"/>
          <w:sz w:val="32"/>
          <w:szCs w:val="32"/>
        </w:rPr>
        <w:t>。</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5.4.2.1</w:t>
      </w:r>
      <w:r w:rsidRPr="00640B84">
        <w:rPr>
          <w:rFonts w:eastAsia="仿宋_GB2312"/>
          <w:kern w:val="0"/>
          <w:sz w:val="32"/>
          <w:szCs w:val="32"/>
        </w:rPr>
        <w:t>生产企业灭菌</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对于经辐照灭菌的产品，需明确辐照剂量及相关的验证报告，具体的剂量确定依据可参照</w:t>
      </w:r>
      <w:r w:rsidRPr="00640B84">
        <w:rPr>
          <w:rFonts w:eastAsia="仿宋_GB2312"/>
          <w:kern w:val="0"/>
          <w:sz w:val="32"/>
          <w:szCs w:val="32"/>
        </w:rPr>
        <w:t>GB 18280</w:t>
      </w:r>
      <w:r w:rsidRPr="00640B84">
        <w:rPr>
          <w:rFonts w:eastAsia="仿宋_GB2312"/>
          <w:kern w:val="0"/>
          <w:sz w:val="32"/>
          <w:szCs w:val="32"/>
        </w:rPr>
        <w:t>系列标准。</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lastRenderedPageBreak/>
        <w:t>对于经环氧乙烷灭菌的产品，需提供灭菌结果确认和过程控制报告，具体可参照</w:t>
      </w:r>
      <w:r w:rsidRPr="00640B84">
        <w:rPr>
          <w:rFonts w:eastAsia="仿宋_GB2312"/>
          <w:kern w:val="0"/>
          <w:sz w:val="32"/>
          <w:szCs w:val="32"/>
        </w:rPr>
        <w:t>GB 18279</w:t>
      </w:r>
      <w:r w:rsidRPr="00640B84">
        <w:rPr>
          <w:rFonts w:eastAsia="仿宋_GB2312"/>
          <w:kern w:val="0"/>
          <w:sz w:val="32"/>
          <w:szCs w:val="32"/>
        </w:rPr>
        <w:t>系列标准。</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5.4.2.2</w:t>
      </w:r>
      <w:r w:rsidRPr="00640B84">
        <w:rPr>
          <w:rFonts w:eastAsia="仿宋_GB2312"/>
          <w:kern w:val="0"/>
          <w:sz w:val="32"/>
          <w:szCs w:val="32"/>
        </w:rPr>
        <w:t>最终使用者灭菌</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对于非灭菌包装的终产品，需明确推荐采用的灭菌方法并提供确定依据，并提供验证资料。采用其他灭菌方法的需提供方法合理性论证和工艺确认及过程控制报告。</w:t>
      </w:r>
    </w:p>
    <w:p w:rsidR="00B777C7" w:rsidRPr="00640B84" w:rsidRDefault="00B777C7" w:rsidP="00B777C7">
      <w:pPr>
        <w:spacing w:line="520" w:lineRule="exact"/>
        <w:ind w:firstLineChars="200" w:firstLine="640"/>
        <w:rPr>
          <w:rFonts w:eastAsia="仿宋_GB2312"/>
          <w:bCs/>
          <w:sz w:val="32"/>
          <w:szCs w:val="32"/>
        </w:rPr>
      </w:pPr>
      <w:r w:rsidRPr="00640B84">
        <w:rPr>
          <w:rFonts w:eastAsia="楷体_GB2312"/>
          <w:sz w:val="32"/>
          <w:szCs w:val="32"/>
        </w:rPr>
        <w:t>5.5</w:t>
      </w:r>
      <w:r w:rsidRPr="00640B84">
        <w:rPr>
          <w:rFonts w:eastAsia="仿宋_GB2312"/>
          <w:bCs/>
          <w:sz w:val="32"/>
          <w:szCs w:val="32"/>
        </w:rPr>
        <w:t>动物试验研究</w:t>
      </w:r>
    </w:p>
    <w:p w:rsidR="00B777C7" w:rsidRPr="00640B84" w:rsidRDefault="00B777C7" w:rsidP="00B777C7">
      <w:pPr>
        <w:spacing w:line="520" w:lineRule="exact"/>
        <w:ind w:firstLineChars="200" w:firstLine="640"/>
        <w:rPr>
          <w:rFonts w:eastAsia="仿宋_GB2312"/>
          <w:bCs/>
          <w:sz w:val="32"/>
          <w:szCs w:val="32"/>
        </w:rPr>
      </w:pPr>
      <w:r w:rsidRPr="00640B84">
        <w:rPr>
          <w:rFonts w:eastAsia="仿宋_GB2312"/>
          <w:bCs/>
          <w:sz w:val="32"/>
          <w:szCs w:val="32"/>
        </w:rPr>
        <w:t>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第一部分：决策原则》决策是否需开展动物试验研究。如开展动物试验研究，需按照《医疗器械动物试验研究注册审查指导原则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第二部分：试验设计、实施质量保证》进行，并遵循</w:t>
      </w:r>
      <w:r w:rsidRPr="00640B84">
        <w:rPr>
          <w:rFonts w:eastAsia="仿宋_GB2312"/>
          <w:bCs/>
          <w:sz w:val="32"/>
          <w:szCs w:val="32"/>
        </w:rPr>
        <w:t>3R</w:t>
      </w:r>
      <w:r w:rsidRPr="00640B84">
        <w:rPr>
          <w:rFonts w:eastAsia="仿宋_GB2312"/>
          <w:bCs/>
          <w:sz w:val="32"/>
          <w:szCs w:val="32"/>
        </w:rPr>
        <w:t>原则。需关注动物模型建立的科学性和合理性，以及对临床的借鉴意义。一般对于工作机理明确、设计定型，生产工艺成熟，且不改变常规用途的胸骨捆扎固定系统产品不需要进行动物试验研究。</w:t>
      </w:r>
    </w:p>
    <w:p w:rsidR="00B777C7" w:rsidRPr="00640B84" w:rsidRDefault="00B777C7" w:rsidP="00B777C7">
      <w:pPr>
        <w:widowControl/>
        <w:spacing w:line="520" w:lineRule="exact"/>
        <w:ind w:firstLineChars="200" w:firstLine="640"/>
        <w:textAlignment w:val="center"/>
        <w:rPr>
          <w:kern w:val="0"/>
          <w:szCs w:val="21"/>
        </w:rPr>
      </w:pPr>
      <w:r w:rsidRPr="00640B84">
        <w:rPr>
          <w:rFonts w:eastAsia="楷体_GB2312"/>
          <w:sz w:val="32"/>
          <w:szCs w:val="32"/>
        </w:rPr>
        <w:t>5.6</w:t>
      </w:r>
      <w:r w:rsidRPr="00640B84">
        <w:rPr>
          <w:rFonts w:eastAsia="仿宋_GB2312"/>
          <w:bCs/>
          <w:sz w:val="32"/>
          <w:szCs w:val="32"/>
        </w:rPr>
        <w:t>稳定性研究</w:t>
      </w:r>
    </w:p>
    <w:p w:rsidR="00B777C7" w:rsidRPr="00640B84" w:rsidRDefault="00B777C7" w:rsidP="00B777C7">
      <w:pPr>
        <w:widowControl/>
        <w:spacing w:line="520" w:lineRule="exact"/>
        <w:ind w:firstLineChars="200" w:firstLine="640"/>
        <w:rPr>
          <w:rFonts w:eastAsia="仿宋_GB2312"/>
          <w:bCs/>
          <w:kern w:val="0"/>
          <w:sz w:val="32"/>
          <w:szCs w:val="32"/>
        </w:rPr>
      </w:pPr>
      <w:r w:rsidRPr="00640B84">
        <w:rPr>
          <w:rFonts w:eastAsia="仿宋_GB2312"/>
          <w:kern w:val="0"/>
          <w:sz w:val="32"/>
          <w:szCs w:val="32"/>
        </w:rPr>
        <w:t>申报产品需参照《无源植入性医疗器械稳定性研究指导原则》提供产品稳定性研究资料。</w:t>
      </w:r>
      <w:r w:rsidRPr="00640B84">
        <w:rPr>
          <w:rFonts w:eastAsia="仿宋_GB2312"/>
          <w:bCs/>
          <w:kern w:val="0"/>
          <w:sz w:val="32"/>
          <w:szCs w:val="32"/>
        </w:rPr>
        <w:t>稳定性研究一般包含货架有效期、使用稳定性和运输稳定性，其中货架有效期和运输稳定性研究包含器械本身性能稳定性和包装性能稳定性两方面。由钛合金材料或不锈钢材料制成的胸骨捆扎固定系统，其器械本身性能比较稳定，可主要考虑包装稳定性的验证。使用稳定性可在性能研究中开展验证。</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bCs/>
          <w:kern w:val="0"/>
          <w:sz w:val="32"/>
          <w:szCs w:val="32"/>
        </w:rPr>
        <w:t>5.6.1</w:t>
      </w:r>
      <w:r w:rsidRPr="00640B84">
        <w:rPr>
          <w:rFonts w:eastAsia="仿宋_GB2312"/>
          <w:bCs/>
          <w:kern w:val="0"/>
          <w:sz w:val="32"/>
          <w:szCs w:val="32"/>
        </w:rPr>
        <w:t>货架有效期</w:t>
      </w:r>
    </w:p>
    <w:p w:rsidR="00B777C7" w:rsidRPr="00640B84" w:rsidRDefault="00B777C7" w:rsidP="00B777C7">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医疗器械货架有效期的验证试验通常可分为加速稳定性试验、实时稳定性试验两类。无论加速稳定性试验还是实</w:t>
      </w:r>
      <w:r w:rsidRPr="00640B84">
        <w:rPr>
          <w:rFonts w:eastAsia="仿宋_GB2312"/>
          <w:bCs/>
          <w:kern w:val="0"/>
          <w:sz w:val="32"/>
          <w:szCs w:val="32"/>
        </w:rPr>
        <w:lastRenderedPageBreak/>
        <w:t>时稳定性试验，注册申请人均需在试验方案中设定测试项目、测试方法及判定标准。测试项目仅需评估产品随时间老化的相关性能，包括器械自身性能测试和包装系统性能测试两方面。其中包装系统性能测试（</w:t>
      </w:r>
      <w:r w:rsidRPr="00640B84">
        <w:rPr>
          <w:rFonts w:eastAsia="仿宋_GB2312"/>
          <w:kern w:val="0"/>
          <w:sz w:val="32"/>
          <w:szCs w:val="32"/>
        </w:rPr>
        <w:t>如染色液穿透试验、气泡试验、材料密封强度试验等</w:t>
      </w:r>
      <w:r w:rsidRPr="00640B84">
        <w:rPr>
          <w:rFonts w:eastAsia="仿宋_GB2312"/>
          <w:bCs/>
          <w:kern w:val="0"/>
          <w:sz w:val="32"/>
          <w:szCs w:val="32"/>
        </w:rPr>
        <w:t>）主要目的是为了验证包装系统对微生物的屏障性能，即无菌状态</w:t>
      </w:r>
      <w:r w:rsidRPr="00640B84">
        <w:rPr>
          <w:rFonts w:eastAsia="仿宋_GB2312"/>
          <w:bCs/>
          <w:kern w:val="0"/>
          <w:sz w:val="32"/>
          <w:szCs w:val="32"/>
        </w:rPr>
        <w:t>/</w:t>
      </w:r>
      <w:r w:rsidRPr="00640B84">
        <w:rPr>
          <w:rFonts w:eastAsia="仿宋_GB2312"/>
          <w:bCs/>
          <w:kern w:val="0"/>
          <w:sz w:val="32"/>
          <w:szCs w:val="32"/>
        </w:rPr>
        <w:t>微生物限度要求的保持。</w:t>
      </w:r>
    </w:p>
    <w:p w:rsidR="00B777C7" w:rsidRPr="00640B84" w:rsidRDefault="00B777C7" w:rsidP="00B777C7">
      <w:pPr>
        <w:widowControl/>
        <w:spacing w:line="520" w:lineRule="exact"/>
        <w:ind w:firstLineChars="200" w:firstLine="640"/>
        <w:rPr>
          <w:rFonts w:eastAsia="仿宋_GB2312"/>
          <w:kern w:val="0"/>
          <w:sz w:val="32"/>
          <w:szCs w:val="32"/>
        </w:rPr>
      </w:pPr>
      <w:r w:rsidRPr="00640B84">
        <w:rPr>
          <w:rFonts w:eastAsia="仿宋_GB2312"/>
          <w:kern w:val="0"/>
          <w:sz w:val="32"/>
          <w:szCs w:val="32"/>
        </w:rPr>
        <w:t>若注册申请人提供其他医疗器械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rsidR="00B777C7" w:rsidRPr="00640B84" w:rsidRDefault="00B777C7" w:rsidP="00B777C7">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5.6.2</w:t>
      </w:r>
      <w:r w:rsidRPr="00640B84">
        <w:rPr>
          <w:rFonts w:eastAsia="仿宋_GB2312"/>
          <w:bCs/>
          <w:kern w:val="0"/>
          <w:sz w:val="32"/>
          <w:szCs w:val="32"/>
        </w:rPr>
        <w:t>运输稳定性</w:t>
      </w:r>
    </w:p>
    <w:p w:rsidR="00B777C7" w:rsidRPr="00640B84" w:rsidRDefault="00B777C7" w:rsidP="00B777C7">
      <w:pPr>
        <w:spacing w:line="520" w:lineRule="exact"/>
        <w:ind w:firstLineChars="200" w:firstLine="640"/>
        <w:rPr>
          <w:rFonts w:eastAsia="仿宋_GB2312"/>
          <w:kern w:val="0"/>
          <w:sz w:val="32"/>
          <w:szCs w:val="32"/>
        </w:rPr>
      </w:pPr>
      <w:r w:rsidRPr="00640B84">
        <w:rPr>
          <w:rFonts w:eastAsia="仿宋_GB2312"/>
          <w:kern w:val="0"/>
          <w:sz w:val="32"/>
          <w:szCs w:val="32"/>
        </w:rPr>
        <w:t>提交运输稳定性验证资料，证明在规定的运输条件下，运输过程中环境条件不会对医疗器械的特性和性能造成不利影响。运输稳定性验证资料应依据有关适用的国内、国际标准和验证方案进行，如：产品包装的跌落试验、振荡试验等。</w:t>
      </w:r>
    </w:p>
    <w:p w:rsidR="00B777C7" w:rsidRPr="00640B84" w:rsidRDefault="00B777C7" w:rsidP="00B777C7">
      <w:pPr>
        <w:spacing w:line="520" w:lineRule="exact"/>
        <w:ind w:firstLineChars="200" w:firstLine="640"/>
        <w:rPr>
          <w:rFonts w:eastAsia="仿宋_GB2312"/>
          <w:bCs/>
          <w:sz w:val="32"/>
          <w:szCs w:val="32"/>
        </w:rPr>
      </w:pPr>
      <w:r w:rsidRPr="00640B84">
        <w:rPr>
          <w:rFonts w:eastAsia="楷体_GB2312"/>
          <w:sz w:val="32"/>
          <w:szCs w:val="32"/>
        </w:rPr>
        <w:t>5.7</w:t>
      </w:r>
      <w:r w:rsidRPr="00640B84">
        <w:rPr>
          <w:rFonts w:eastAsia="仿宋_GB2312"/>
          <w:bCs/>
          <w:sz w:val="32"/>
          <w:szCs w:val="32"/>
        </w:rPr>
        <w:t>磁共振兼容性研究</w:t>
      </w:r>
    </w:p>
    <w:p w:rsidR="00B777C7" w:rsidRPr="00640B84" w:rsidRDefault="00B777C7" w:rsidP="00B777C7">
      <w:pPr>
        <w:pStyle w:val="Default"/>
        <w:spacing w:line="520" w:lineRule="exact"/>
        <w:ind w:firstLineChars="200" w:firstLine="640"/>
        <w:jc w:val="both"/>
        <w:rPr>
          <w:rFonts w:ascii="Times New Roman" w:eastAsia="仿宋_GB2312" w:cs="Times New Roman"/>
          <w:color w:val="auto"/>
          <w:sz w:val="32"/>
          <w:szCs w:val="32"/>
        </w:rPr>
      </w:pPr>
      <w:r w:rsidRPr="00640B84">
        <w:rPr>
          <w:rFonts w:ascii="Times New Roman" w:eastAsia="仿宋_GB2312" w:cs="Times New Roman"/>
          <w:color w:val="auto"/>
          <w:sz w:val="32"/>
          <w:szCs w:val="32"/>
        </w:rPr>
        <w:t>申报产品若预期在磁共振（</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）环境中使用，建议开展</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环境下的行为属性的相关验证，根据</w:t>
      </w:r>
      <w:r w:rsidRPr="00640B84">
        <w:rPr>
          <w:rFonts w:ascii="Times New Roman" w:eastAsia="仿宋_GB2312" w:cs="Times New Roman"/>
          <w:color w:val="auto"/>
          <w:sz w:val="32"/>
          <w:szCs w:val="32"/>
        </w:rPr>
        <w:t>YY/T 0987</w:t>
      </w:r>
      <w:r w:rsidRPr="00640B84">
        <w:rPr>
          <w:rFonts w:ascii="Times New Roman" w:eastAsia="仿宋_GB2312" w:cs="Times New Roman"/>
          <w:color w:val="auto"/>
          <w:sz w:val="32"/>
          <w:szCs w:val="32"/>
        </w:rPr>
        <w:t>系列标准对产品在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环境下的磁致位移力、磁致扭矩、射频致热、伪影等项目进行评估。需根据研究报告，列出</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试验设备、磁场强度、比吸收率（</w:t>
      </w:r>
      <w:r w:rsidRPr="00640B84">
        <w:rPr>
          <w:rFonts w:ascii="Times New Roman" w:eastAsia="仿宋_GB2312" w:cs="Times New Roman"/>
          <w:color w:val="auto"/>
          <w:sz w:val="32"/>
          <w:szCs w:val="32"/>
        </w:rPr>
        <w:t>SAR</w:t>
      </w:r>
      <w:r w:rsidRPr="00640B84">
        <w:rPr>
          <w:rFonts w:ascii="Times New Roman" w:eastAsia="仿宋_GB2312" w:cs="Times New Roman"/>
          <w:color w:val="auto"/>
          <w:sz w:val="32"/>
          <w:szCs w:val="32"/>
        </w:rPr>
        <w:t>）等试验参数及温升、位移力、扭矩及伪影评估结果，研究报告相关信息在说明书中予以明示。</w:t>
      </w:r>
    </w:p>
    <w:p w:rsidR="00B777C7" w:rsidRPr="00640B84" w:rsidRDefault="00B777C7" w:rsidP="00B777C7">
      <w:pPr>
        <w:pStyle w:val="Default"/>
        <w:spacing w:line="520" w:lineRule="exact"/>
        <w:ind w:firstLineChars="200" w:firstLine="640"/>
        <w:jc w:val="both"/>
        <w:rPr>
          <w:rFonts w:ascii="Times New Roman" w:eastAsia="仿宋_GB2312" w:cs="Times New Roman"/>
          <w:color w:val="auto"/>
          <w:sz w:val="32"/>
          <w:szCs w:val="32"/>
        </w:rPr>
      </w:pPr>
      <w:r w:rsidRPr="00640B84">
        <w:rPr>
          <w:rFonts w:ascii="Times New Roman" w:eastAsia="仿宋_GB2312" w:cs="Times New Roman"/>
          <w:color w:val="auto"/>
          <w:sz w:val="32"/>
          <w:szCs w:val="32"/>
        </w:rPr>
        <w:t>如注册申请人未对申报产品进行</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环境下行为属性的</w:t>
      </w:r>
      <w:r w:rsidRPr="00640B84">
        <w:rPr>
          <w:rFonts w:ascii="Times New Roman" w:eastAsia="仿宋_GB2312" w:cs="Times New Roman"/>
          <w:color w:val="auto"/>
          <w:sz w:val="32"/>
          <w:szCs w:val="32"/>
        </w:rPr>
        <w:lastRenderedPageBreak/>
        <w:t>相关验证，需明确该产品尚未在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环境下对该产品的温升、移位状况及伪影进行测试评估，需在说明书的警示中注明相关内容，提示其存在的风险，由临床医生与医疗机构综合判断临床使用风险的可控性。</w:t>
      </w:r>
    </w:p>
    <w:p w:rsidR="00B777C7" w:rsidRPr="00640B84" w:rsidRDefault="00B777C7" w:rsidP="00B777C7">
      <w:pPr>
        <w:spacing w:line="520" w:lineRule="exact"/>
        <w:ind w:firstLineChars="200" w:firstLine="640"/>
        <w:rPr>
          <w:rFonts w:eastAsia="仿宋_GB2312"/>
          <w:bCs/>
          <w:sz w:val="32"/>
          <w:szCs w:val="32"/>
        </w:rPr>
      </w:pPr>
      <w:r w:rsidRPr="00640B84">
        <w:rPr>
          <w:rFonts w:eastAsia="仿宋_GB2312"/>
          <w:bCs/>
          <w:sz w:val="32"/>
          <w:szCs w:val="32"/>
        </w:rPr>
        <w:t>6.</w:t>
      </w:r>
      <w:r w:rsidRPr="00640B84">
        <w:rPr>
          <w:rFonts w:eastAsia="仿宋_GB2312"/>
          <w:bCs/>
          <w:sz w:val="32"/>
          <w:szCs w:val="32"/>
        </w:rPr>
        <w:t>其他资料</w:t>
      </w:r>
    </w:p>
    <w:p w:rsidR="00B777C7" w:rsidRPr="00640B84" w:rsidRDefault="00B777C7" w:rsidP="00B777C7">
      <w:pPr>
        <w:pStyle w:val="Default"/>
        <w:spacing w:line="520" w:lineRule="exact"/>
        <w:ind w:firstLineChars="200" w:firstLine="640"/>
        <w:jc w:val="both"/>
        <w:rPr>
          <w:rFonts w:ascii="Times New Roman" w:eastAsia="仿宋_GB2312" w:cs="Times New Roman"/>
          <w:color w:val="auto"/>
          <w:sz w:val="32"/>
          <w:szCs w:val="32"/>
        </w:rPr>
      </w:pPr>
      <w:r w:rsidRPr="00640B84">
        <w:rPr>
          <w:rFonts w:ascii="Times New Roman" w:eastAsia="仿宋_GB2312" w:cs="Times New Roman"/>
          <w:color w:val="auto"/>
          <w:sz w:val="32"/>
          <w:szCs w:val="32"/>
        </w:rPr>
        <w:t>胸骨捆扎固定系统已列入《免于临床评价医疗器械目录》（以下简称《目录》），对符合《目录》要求的产品，注册申请人需提交申报产品相关信息与《目录》所述内容的对比资料、申报产品与已获准境内注册的《目录》中医疗器械的对比表等，具体提交资料的要求可参照《列入免于进行临床评价医疗器械目录产品对比说明技术指导原则》。申报产品与对比产品存在差异的，还应提交差异部分对安全有效性影响的分析研究资料。</w:t>
      </w:r>
    </w:p>
    <w:p w:rsidR="00B777C7" w:rsidRPr="00640B84" w:rsidRDefault="00B777C7" w:rsidP="00B777C7">
      <w:pPr>
        <w:spacing w:line="520" w:lineRule="exact"/>
        <w:ind w:firstLineChars="200" w:firstLine="640"/>
        <w:rPr>
          <w:rFonts w:eastAsia="楷体_GB2312"/>
          <w:sz w:val="32"/>
          <w:szCs w:val="32"/>
        </w:rPr>
      </w:pPr>
      <w:r w:rsidRPr="00640B84">
        <w:rPr>
          <w:rFonts w:eastAsia="楷体_GB2312"/>
          <w:sz w:val="32"/>
          <w:szCs w:val="32"/>
        </w:rPr>
        <w:t>（四）临床评价资料</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1.</w:t>
      </w:r>
      <w:r w:rsidRPr="00640B84">
        <w:rPr>
          <w:rFonts w:eastAsia="仿宋_GB2312"/>
          <w:sz w:val="32"/>
          <w:szCs w:val="32"/>
        </w:rPr>
        <w:t>同品种医疗器械临床数据</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对于不属于免临床评价目录内的产品，可按照《医疗器械临床评价技术指导原则》中将同品种医疗器械的临床数据用于支持申报产品的安全性、临床性能和</w:t>
      </w:r>
      <w:r w:rsidRPr="00640B84">
        <w:rPr>
          <w:rFonts w:eastAsia="仿宋_GB2312"/>
          <w:sz w:val="32"/>
          <w:szCs w:val="32"/>
        </w:rPr>
        <w:t>/</w:t>
      </w:r>
      <w:r w:rsidRPr="00640B84">
        <w:rPr>
          <w:rFonts w:eastAsia="仿宋_GB2312"/>
          <w:sz w:val="32"/>
          <w:szCs w:val="32"/>
        </w:rPr>
        <w:t>或有效性的要求。</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申报产品临床试验数据</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经评价，确需开展临床试验的，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B777C7" w:rsidRPr="00640B84" w:rsidRDefault="00B777C7" w:rsidP="00B777C7">
      <w:pPr>
        <w:spacing w:line="520" w:lineRule="exact"/>
        <w:ind w:firstLineChars="200" w:firstLine="640"/>
        <w:rPr>
          <w:rFonts w:eastAsia="仿宋_GB2312"/>
          <w:bCs/>
          <w:sz w:val="32"/>
          <w:szCs w:val="32"/>
        </w:rPr>
      </w:pPr>
      <w:r w:rsidRPr="00640B84">
        <w:rPr>
          <w:rFonts w:eastAsia="仿宋_GB2312"/>
          <w:sz w:val="32"/>
          <w:szCs w:val="32"/>
        </w:rPr>
        <w:t>注册申请人如有境外临床试验数据，可参照《接受医疗</w:t>
      </w:r>
      <w:r w:rsidRPr="00640B84">
        <w:rPr>
          <w:rFonts w:eastAsia="仿宋_GB2312"/>
          <w:sz w:val="32"/>
          <w:szCs w:val="32"/>
        </w:rPr>
        <w:lastRenderedPageBreak/>
        <w:t>器械境外临床试验数据技术指导原则》的要求提交相关资料。</w:t>
      </w:r>
    </w:p>
    <w:p w:rsidR="00B777C7" w:rsidRPr="00640B84" w:rsidRDefault="00B777C7" w:rsidP="00B777C7">
      <w:pPr>
        <w:spacing w:line="520" w:lineRule="exact"/>
        <w:ind w:firstLineChars="200" w:firstLine="640"/>
        <w:rPr>
          <w:rFonts w:eastAsia="楷体_GB2312"/>
          <w:sz w:val="32"/>
          <w:szCs w:val="32"/>
        </w:rPr>
      </w:pPr>
      <w:r w:rsidRPr="00640B84">
        <w:rPr>
          <w:rFonts w:eastAsia="楷体_GB2312"/>
          <w:sz w:val="32"/>
          <w:szCs w:val="32"/>
        </w:rPr>
        <w:t>（五）产品说明书和标签样稿</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产品说明书、标签和包装标识需符合《医疗器械说明书和标签管理规定》和相关国家标准、行业标准的要求（如</w:t>
      </w:r>
      <w:r w:rsidRPr="00640B84">
        <w:rPr>
          <w:rFonts w:eastAsia="仿宋_GB2312"/>
          <w:sz w:val="32"/>
          <w:szCs w:val="32"/>
        </w:rPr>
        <w:t>YY/T 0466.1</w:t>
      </w:r>
      <w:r w:rsidRPr="00640B84">
        <w:rPr>
          <w:rFonts w:eastAsia="仿宋_GB2312"/>
          <w:sz w:val="32"/>
          <w:szCs w:val="32"/>
        </w:rPr>
        <w:t>《医疗器械用于医疗器械标签、标记和提供信息的符号第</w:t>
      </w:r>
      <w:r w:rsidRPr="00640B84">
        <w:rPr>
          <w:rFonts w:eastAsia="仿宋_GB2312"/>
          <w:sz w:val="32"/>
          <w:szCs w:val="32"/>
        </w:rPr>
        <w:t>1</w:t>
      </w:r>
      <w:r w:rsidRPr="00640B84">
        <w:rPr>
          <w:rFonts w:eastAsia="仿宋_GB2312"/>
          <w:sz w:val="32"/>
          <w:szCs w:val="32"/>
        </w:rPr>
        <w:t>部分：通用要求》）。</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说明书需告知使用者所有使用过程中相关的剩余风险。对产品预期使用者的技术知识、经验、教育背景、培训、身体状况（如适用）以及产品使用环境（含工作条件）有要求的，在说明书中需予以明确。</w:t>
      </w:r>
    </w:p>
    <w:p w:rsidR="00B777C7" w:rsidRPr="00640B84" w:rsidRDefault="00B777C7" w:rsidP="00B777C7">
      <w:pPr>
        <w:spacing w:line="520" w:lineRule="exact"/>
        <w:ind w:firstLineChars="200" w:firstLine="640"/>
        <w:rPr>
          <w:rFonts w:eastAsia="楷体_GB2312"/>
          <w:sz w:val="32"/>
          <w:szCs w:val="32"/>
        </w:rPr>
      </w:pPr>
      <w:r w:rsidRPr="00640B84">
        <w:rPr>
          <w:rFonts w:eastAsia="楷体_GB2312"/>
          <w:sz w:val="32"/>
          <w:szCs w:val="32"/>
        </w:rPr>
        <w:t>（六）质量管理体系文件</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需按照《关于公布医疗器械注册申报资料要求和批准证明文件格式的公告》提交相关文件。</w:t>
      </w:r>
    </w:p>
    <w:p w:rsidR="00B777C7" w:rsidRPr="00640B84" w:rsidRDefault="00B777C7" w:rsidP="00B777C7">
      <w:pPr>
        <w:spacing w:line="520" w:lineRule="exact"/>
        <w:ind w:firstLineChars="200" w:firstLine="640"/>
        <w:rPr>
          <w:rFonts w:eastAsia="黑体"/>
          <w:sz w:val="32"/>
          <w:szCs w:val="32"/>
        </w:rPr>
      </w:pPr>
      <w:r w:rsidRPr="00640B84">
        <w:rPr>
          <w:rFonts w:eastAsia="黑体"/>
          <w:sz w:val="32"/>
          <w:szCs w:val="32"/>
        </w:rPr>
        <w:t>三、参考文献</w:t>
      </w:r>
    </w:p>
    <w:p w:rsidR="00B777C7" w:rsidRPr="00640B84" w:rsidRDefault="00B777C7" w:rsidP="00B777C7">
      <w:pPr>
        <w:spacing w:line="520" w:lineRule="exact"/>
        <w:ind w:firstLineChars="200" w:firstLine="640"/>
        <w:rPr>
          <w:rFonts w:eastAsia="黑体"/>
          <w:sz w:val="32"/>
          <w:szCs w:val="32"/>
        </w:rPr>
      </w:pPr>
      <w:r w:rsidRPr="00640B84">
        <w:rPr>
          <w:rFonts w:eastAsia="仿宋_GB2312"/>
          <w:sz w:val="32"/>
          <w:szCs w:val="32"/>
        </w:rPr>
        <w:t>[1]</w:t>
      </w:r>
      <w:r w:rsidRPr="00640B84">
        <w:rPr>
          <w:rFonts w:eastAsia="仿宋_GB2312"/>
          <w:sz w:val="32"/>
          <w:szCs w:val="32"/>
        </w:rPr>
        <w:t>中华人民共和国国务院</w:t>
      </w:r>
      <w:r w:rsidRPr="00640B84">
        <w:rPr>
          <w:rFonts w:eastAsia="仿宋_GB2312"/>
          <w:sz w:val="32"/>
          <w:szCs w:val="32"/>
        </w:rPr>
        <w:t>.</w:t>
      </w:r>
      <w:r w:rsidRPr="00640B84">
        <w:rPr>
          <w:rFonts w:eastAsia="仿宋_GB2312"/>
          <w:sz w:val="32"/>
          <w:szCs w:val="32"/>
        </w:rPr>
        <w:t>医疗器械监督管理条例</w:t>
      </w:r>
      <w:r w:rsidRPr="00640B84">
        <w:rPr>
          <w:rFonts w:eastAsia="仿宋_GB2312"/>
          <w:sz w:val="32"/>
          <w:szCs w:val="32"/>
        </w:rPr>
        <w:t>:</w:t>
      </w:r>
      <w:r w:rsidRPr="00640B84">
        <w:rPr>
          <w:rFonts w:eastAsia="仿宋_GB2312"/>
          <w:sz w:val="32"/>
          <w:szCs w:val="32"/>
        </w:rPr>
        <w:t>中华人民共和国国务院令第</w:t>
      </w:r>
      <w:r w:rsidRPr="00640B84">
        <w:rPr>
          <w:rFonts w:eastAsia="仿宋_GB2312"/>
          <w:sz w:val="32"/>
          <w:szCs w:val="32"/>
        </w:rPr>
        <w:t>739</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国家市场监督管理总局</w:t>
      </w:r>
      <w:r w:rsidRPr="00640B84">
        <w:rPr>
          <w:rFonts w:eastAsia="仿宋_GB2312"/>
          <w:sz w:val="32"/>
          <w:szCs w:val="32"/>
        </w:rPr>
        <w:t>.</w:t>
      </w:r>
      <w:r w:rsidRPr="00640B84">
        <w:rPr>
          <w:rFonts w:eastAsia="仿宋_GB2312"/>
          <w:sz w:val="32"/>
          <w:szCs w:val="32"/>
        </w:rPr>
        <w:t>医疗器械注册与备案管理办法</w:t>
      </w:r>
      <w:r w:rsidRPr="00640B84">
        <w:rPr>
          <w:rFonts w:eastAsia="仿宋_GB2312"/>
          <w:sz w:val="32"/>
          <w:szCs w:val="32"/>
        </w:rPr>
        <w:t>:</w:t>
      </w:r>
      <w:r w:rsidRPr="00640B84">
        <w:rPr>
          <w:rFonts w:eastAsia="仿宋_GB2312"/>
          <w:sz w:val="32"/>
          <w:szCs w:val="32"/>
        </w:rPr>
        <w:t>国家市场监督管理总局令第</w:t>
      </w:r>
      <w:r w:rsidRPr="00640B84">
        <w:rPr>
          <w:rFonts w:eastAsia="仿宋_GB2312"/>
          <w:sz w:val="32"/>
          <w:szCs w:val="32"/>
        </w:rPr>
        <w:t>47</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国家药品监督管理局，国家卫生健康委员会</w:t>
      </w:r>
      <w:r w:rsidRPr="00640B84">
        <w:rPr>
          <w:rFonts w:eastAsia="仿宋_GB2312"/>
          <w:sz w:val="32"/>
          <w:szCs w:val="32"/>
        </w:rPr>
        <w:t>.</w:t>
      </w:r>
      <w:r w:rsidRPr="00640B84">
        <w:rPr>
          <w:rFonts w:eastAsia="仿宋_GB2312"/>
          <w:sz w:val="32"/>
          <w:szCs w:val="32"/>
        </w:rPr>
        <w:t>医疗器械临床试验质量管理规范</w:t>
      </w:r>
      <w:r w:rsidRPr="00640B84">
        <w:rPr>
          <w:rFonts w:eastAsia="仿宋_GB2312"/>
          <w:sz w:val="32"/>
          <w:szCs w:val="32"/>
        </w:rPr>
        <w:t xml:space="preserve">: </w:t>
      </w:r>
      <w:r w:rsidRPr="00640B84">
        <w:rPr>
          <w:rFonts w:eastAsia="仿宋_GB2312"/>
          <w:sz w:val="32"/>
          <w:szCs w:val="32"/>
        </w:rPr>
        <w:t>国家药品监督管理局，国家卫生健康委员会</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28</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黑体"/>
          <w:sz w:val="32"/>
          <w:szCs w:val="32"/>
        </w:rPr>
      </w:pPr>
      <w:r w:rsidRPr="00640B84">
        <w:rPr>
          <w:rFonts w:eastAsia="黑体"/>
          <w:sz w:val="32"/>
          <w:szCs w:val="32"/>
        </w:rPr>
        <w:t>[4]</w:t>
      </w:r>
      <w:r w:rsidRPr="00640B84">
        <w:rPr>
          <w:rFonts w:eastAsia="仿宋_GB2312"/>
          <w:sz w:val="32"/>
          <w:szCs w:val="32"/>
        </w:rPr>
        <w:t>国家食品药品监督管理局</w:t>
      </w:r>
      <w:r w:rsidRPr="00640B84">
        <w:rPr>
          <w:rFonts w:eastAsia="仿宋_GB2312"/>
          <w:sz w:val="32"/>
          <w:szCs w:val="32"/>
        </w:rPr>
        <w:t>.</w:t>
      </w:r>
      <w:r w:rsidRPr="00640B84">
        <w:rPr>
          <w:rFonts w:eastAsia="仿宋_GB2312"/>
          <w:sz w:val="32"/>
          <w:szCs w:val="32"/>
        </w:rPr>
        <w:t>医疗器械说明书和标签管理规定</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6</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黑体"/>
          <w:sz w:val="32"/>
          <w:szCs w:val="32"/>
        </w:rPr>
        <w:t>[5]</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医疗器械通用名称命名规则</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19</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黑体"/>
          <w:sz w:val="32"/>
          <w:szCs w:val="32"/>
        </w:rPr>
      </w:pPr>
      <w:r w:rsidRPr="00640B84">
        <w:rPr>
          <w:rFonts w:eastAsia="黑体"/>
          <w:sz w:val="32"/>
          <w:szCs w:val="32"/>
        </w:rPr>
        <w:t>[6]</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医疗器械临床评价技术指导原</w:t>
      </w:r>
      <w:r w:rsidRPr="00640B84">
        <w:rPr>
          <w:rFonts w:eastAsia="仿宋_GB2312"/>
          <w:sz w:val="32"/>
          <w:szCs w:val="32"/>
        </w:rPr>
        <w:lastRenderedPageBreak/>
        <w:t>则</w:t>
      </w:r>
      <w:r w:rsidRPr="00640B84">
        <w:rPr>
          <w:rFonts w:eastAsia="仿宋_GB2312"/>
          <w:sz w:val="32"/>
          <w:szCs w:val="32"/>
        </w:rPr>
        <w:t>:</w:t>
      </w:r>
      <w:r w:rsidRPr="00640B84">
        <w:rPr>
          <w:rFonts w:eastAsia="仿宋_GB2312"/>
          <w:sz w:val="32"/>
          <w:szCs w:val="32"/>
        </w:rPr>
        <w:t>国家药监局关于发布医疗器械临床评价技术指导原则等</w:t>
      </w:r>
      <w:r w:rsidRPr="00640B84">
        <w:rPr>
          <w:rFonts w:eastAsia="仿宋_GB2312"/>
          <w:sz w:val="32"/>
          <w:szCs w:val="32"/>
        </w:rPr>
        <w:t>5</w:t>
      </w:r>
      <w:r w:rsidRPr="00640B84">
        <w:rPr>
          <w:rFonts w:eastAsia="仿宋_GB2312"/>
          <w:sz w:val="32"/>
          <w:szCs w:val="32"/>
        </w:rPr>
        <w:t>项技术指导原则的通告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73</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黑体"/>
          <w:sz w:val="32"/>
          <w:szCs w:val="32"/>
        </w:rPr>
        <w:t>[7]</w:t>
      </w:r>
      <w:r w:rsidRPr="00640B84">
        <w:rPr>
          <w:rFonts w:eastAsia="仿宋_GB2312"/>
          <w:sz w:val="32"/>
          <w:szCs w:val="32"/>
        </w:rPr>
        <w:t>国家食品药品监督管理局</w:t>
      </w:r>
      <w:r w:rsidRPr="00640B84">
        <w:rPr>
          <w:rFonts w:eastAsia="仿宋_GB2312"/>
          <w:sz w:val="32"/>
          <w:szCs w:val="32"/>
        </w:rPr>
        <w:t xml:space="preserve">. </w:t>
      </w:r>
      <w:r w:rsidRPr="00640B84">
        <w:rPr>
          <w:rFonts w:eastAsia="仿宋_GB2312"/>
          <w:sz w:val="32"/>
          <w:szCs w:val="32"/>
        </w:rPr>
        <w:t>医疗器械生物学评价和审查指南</w:t>
      </w:r>
      <w:r w:rsidRPr="00640B84">
        <w:rPr>
          <w:rFonts w:eastAsia="仿宋_GB2312"/>
          <w:sz w:val="32"/>
          <w:szCs w:val="32"/>
        </w:rPr>
        <w:t>:</w:t>
      </w:r>
      <w:r w:rsidRPr="00640B84">
        <w:rPr>
          <w:rFonts w:eastAsia="仿宋_GB2312"/>
          <w:sz w:val="32"/>
          <w:szCs w:val="32"/>
        </w:rPr>
        <w:t>关于印发医疗器械生物学评价和审查指南的通知</w:t>
      </w:r>
      <w:r w:rsidRPr="00640B84">
        <w:rPr>
          <w:rFonts w:eastAsia="仿宋_GB2312"/>
          <w:sz w:val="32"/>
          <w:szCs w:val="32"/>
        </w:rPr>
        <w:t>2007</w:t>
      </w:r>
      <w:r w:rsidRPr="00640B84">
        <w:rPr>
          <w:rFonts w:eastAsia="仿宋_GB2312"/>
          <w:sz w:val="32"/>
          <w:szCs w:val="32"/>
        </w:rPr>
        <w:t>年第</w:t>
      </w:r>
      <w:r w:rsidRPr="00640B84">
        <w:rPr>
          <w:rFonts w:eastAsia="仿宋_GB2312"/>
          <w:sz w:val="32"/>
          <w:szCs w:val="32"/>
        </w:rPr>
        <w:t>345</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黑体"/>
          <w:sz w:val="32"/>
          <w:szCs w:val="32"/>
        </w:rPr>
      </w:pPr>
      <w:r w:rsidRPr="00640B84">
        <w:rPr>
          <w:rFonts w:eastAsia="仿宋_GB2312"/>
          <w:sz w:val="32"/>
          <w:szCs w:val="32"/>
        </w:rPr>
        <w:t>[8]</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医疗器械注册申报资料要求和批准证明文件格式</w:t>
      </w:r>
      <w:r w:rsidRPr="00640B84">
        <w:rPr>
          <w:rFonts w:eastAsia="仿宋_GB2312"/>
          <w:sz w:val="32"/>
          <w:szCs w:val="32"/>
        </w:rPr>
        <w:t>:</w:t>
      </w:r>
      <w:r w:rsidRPr="00640B84">
        <w:rPr>
          <w:rFonts w:eastAsia="仿宋_GB2312"/>
          <w:sz w:val="32"/>
          <w:szCs w:val="32"/>
        </w:rPr>
        <w:t>关于公布医疗器械注册申报资料要求和批准证明文件格式的公告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121</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黑体"/>
          <w:sz w:val="32"/>
          <w:szCs w:val="32"/>
        </w:rPr>
        <w:t>[9</w:t>
      </w:r>
      <w:r w:rsidRPr="00640B84">
        <w:rPr>
          <w:rFonts w:eastAsia="仿宋_GB2312"/>
          <w:sz w:val="32"/>
          <w:szCs w:val="32"/>
        </w:rPr>
        <w:t>]</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接受医疗器械境外临床试验数据技术指导原则</w:t>
      </w:r>
      <w:r w:rsidRPr="00640B84">
        <w:rPr>
          <w:rFonts w:eastAsia="仿宋_GB2312"/>
          <w:sz w:val="32"/>
          <w:szCs w:val="32"/>
        </w:rPr>
        <w:t xml:space="preserve">: </w:t>
      </w:r>
      <w:r w:rsidRPr="00640B84">
        <w:rPr>
          <w:rFonts w:eastAsia="仿宋_GB2312"/>
          <w:sz w:val="32"/>
          <w:szCs w:val="32"/>
        </w:rPr>
        <w:t>食品药品监管总局关于发布接受医疗器械境外临床试验数据技术指导原则的通告</w:t>
      </w:r>
      <w:r w:rsidRPr="00640B84">
        <w:rPr>
          <w:rFonts w:eastAsia="仿宋_GB2312"/>
          <w:sz w:val="32"/>
          <w:szCs w:val="32"/>
        </w:rPr>
        <w:t>2018</w:t>
      </w:r>
      <w:r w:rsidRPr="00640B84">
        <w:rPr>
          <w:rFonts w:eastAsia="仿宋_GB2312"/>
          <w:sz w:val="32"/>
          <w:szCs w:val="32"/>
        </w:rPr>
        <w:t>年第</w:t>
      </w:r>
      <w:r w:rsidRPr="00640B84">
        <w:rPr>
          <w:rFonts w:eastAsia="仿宋_GB2312"/>
          <w:sz w:val="32"/>
          <w:szCs w:val="32"/>
        </w:rPr>
        <w:t>13</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[10]</w:t>
      </w:r>
      <w:r w:rsidRPr="00640B84">
        <w:rPr>
          <w:rFonts w:eastAsia="仿宋_GB2312"/>
          <w:sz w:val="32"/>
          <w:szCs w:val="32"/>
        </w:rPr>
        <w:t>国家药监局器审中心</w:t>
      </w:r>
      <w:r w:rsidRPr="00640B84">
        <w:rPr>
          <w:rFonts w:eastAsia="仿宋_GB2312"/>
          <w:sz w:val="32"/>
          <w:szCs w:val="32"/>
        </w:rPr>
        <w:t>.</w:t>
      </w:r>
      <w:r w:rsidRPr="00640B84">
        <w:rPr>
          <w:rFonts w:eastAsia="仿宋_GB2312"/>
          <w:sz w:val="32"/>
          <w:szCs w:val="32"/>
        </w:rPr>
        <w:t>无源植入性医疗器械稳定性研究指导原则（</w:t>
      </w:r>
      <w:r w:rsidRPr="00640B84">
        <w:rPr>
          <w:rFonts w:eastAsia="仿宋_GB2312"/>
          <w:sz w:val="32"/>
          <w:szCs w:val="32"/>
        </w:rPr>
        <w:t>2022</w:t>
      </w:r>
      <w:r w:rsidRPr="00640B84">
        <w:rPr>
          <w:rFonts w:eastAsia="仿宋_GB2312"/>
          <w:sz w:val="32"/>
          <w:szCs w:val="32"/>
        </w:rPr>
        <w:t>年修订版）：国家药监局器审中心关于发布无源植入性医疗器械稳定性研究指导原则（</w:t>
      </w:r>
      <w:r w:rsidRPr="00640B84">
        <w:rPr>
          <w:rFonts w:eastAsia="仿宋_GB2312"/>
          <w:sz w:val="32"/>
          <w:szCs w:val="32"/>
        </w:rPr>
        <w:t>2022</w:t>
      </w:r>
      <w:r w:rsidRPr="00640B84">
        <w:rPr>
          <w:rFonts w:eastAsia="仿宋_GB2312"/>
          <w:sz w:val="32"/>
          <w:szCs w:val="32"/>
        </w:rPr>
        <w:t>年修订版）的通告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12</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[11]</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医疗器械动物试验研究注册审查指导原则第一部分：决策原则（</w:t>
      </w:r>
      <w:r w:rsidRPr="00640B84">
        <w:rPr>
          <w:rFonts w:eastAsia="仿宋_GB2312"/>
          <w:sz w:val="32"/>
          <w:szCs w:val="32"/>
        </w:rPr>
        <w:t>2021</w:t>
      </w:r>
      <w:r w:rsidRPr="00640B84">
        <w:rPr>
          <w:rFonts w:eastAsia="仿宋_GB2312"/>
          <w:sz w:val="32"/>
          <w:szCs w:val="32"/>
        </w:rPr>
        <w:t>年修订版）</w:t>
      </w:r>
      <w:r w:rsidRPr="00640B84">
        <w:rPr>
          <w:rFonts w:eastAsia="仿宋_GB2312"/>
          <w:sz w:val="32"/>
          <w:szCs w:val="32"/>
        </w:rPr>
        <w:t>:</w:t>
      </w:r>
      <w:r w:rsidRPr="00640B84">
        <w:t xml:space="preserve"> </w:t>
      </w:r>
      <w:r w:rsidRPr="00640B84">
        <w:rPr>
          <w:rFonts w:eastAsia="仿宋_GB2312"/>
          <w:sz w:val="32"/>
          <w:szCs w:val="32"/>
        </w:rPr>
        <w:t>国家药监局关于发布医疗器械动物试验研究注册审查指导原则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[12]</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医疗器械动物试验研究注册审查指导原则</w:t>
      </w:r>
      <w:r w:rsidRPr="00640B84">
        <w:rPr>
          <w:rFonts w:eastAsia="仿宋_GB2312"/>
          <w:sz w:val="32"/>
          <w:szCs w:val="32"/>
        </w:rPr>
        <w:t xml:space="preserve"> </w:t>
      </w:r>
      <w:r w:rsidRPr="00640B84">
        <w:rPr>
          <w:rFonts w:eastAsia="仿宋_GB2312"/>
          <w:sz w:val="32"/>
          <w:szCs w:val="32"/>
        </w:rPr>
        <w:t>第二部分：试验设计、实施质量保证</w:t>
      </w:r>
      <w:r w:rsidRPr="00640B84">
        <w:rPr>
          <w:rFonts w:eastAsia="仿宋_GB2312"/>
          <w:sz w:val="32"/>
          <w:szCs w:val="32"/>
        </w:rPr>
        <w:t xml:space="preserve">: </w:t>
      </w:r>
      <w:r w:rsidRPr="00640B84">
        <w:rPr>
          <w:rFonts w:eastAsia="仿宋_GB2312"/>
          <w:sz w:val="32"/>
          <w:szCs w:val="32"/>
        </w:rPr>
        <w:t>国家药监局关于发布医疗器械动物试验研究注册审查指导原则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lastRenderedPageBreak/>
        <w:t>[13]</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决策是否开展医疗器械临床试验技术指导原则</w:t>
      </w:r>
      <w:r w:rsidRPr="00640B84">
        <w:rPr>
          <w:rFonts w:eastAsia="仿宋_GB2312"/>
          <w:sz w:val="32"/>
          <w:szCs w:val="32"/>
        </w:rPr>
        <w:t xml:space="preserve">: </w:t>
      </w:r>
      <w:r w:rsidRPr="00640B84">
        <w:rPr>
          <w:rFonts w:eastAsia="仿宋_GB2312"/>
          <w:sz w:val="32"/>
          <w:szCs w:val="32"/>
        </w:rPr>
        <w:t>国家药监局关于发布医疗器械临床评价技术指导原则等</w:t>
      </w:r>
      <w:r w:rsidRPr="00640B84">
        <w:rPr>
          <w:rFonts w:eastAsia="仿宋_GB2312"/>
          <w:sz w:val="32"/>
          <w:szCs w:val="32"/>
        </w:rPr>
        <w:t>5</w:t>
      </w:r>
      <w:r w:rsidRPr="00640B84">
        <w:rPr>
          <w:rFonts w:eastAsia="仿宋_GB2312"/>
          <w:sz w:val="32"/>
          <w:szCs w:val="32"/>
        </w:rPr>
        <w:t>项技术指导原则的通告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73</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[14]</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医疗器械产品技术要求编写指导原则</w:t>
      </w:r>
      <w:r w:rsidRPr="00640B84">
        <w:rPr>
          <w:rFonts w:eastAsia="仿宋_GB2312"/>
          <w:sz w:val="32"/>
          <w:szCs w:val="32"/>
        </w:rPr>
        <w:t xml:space="preserve">: </w:t>
      </w:r>
      <w:r w:rsidRPr="00640B84">
        <w:rPr>
          <w:rFonts w:eastAsia="仿宋_GB2312"/>
          <w:sz w:val="32"/>
          <w:szCs w:val="32"/>
        </w:rPr>
        <w:t>国家药监局关于发布医疗器械产品技术要求编写指导原则的通告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8</w:t>
      </w:r>
      <w:r w:rsidRPr="00640B84">
        <w:rPr>
          <w:rFonts w:eastAsia="仿宋_GB2312"/>
          <w:sz w:val="32"/>
          <w:szCs w:val="32"/>
        </w:rPr>
        <w:t>号</w:t>
      </w:r>
      <w:r w:rsidRPr="00640B84">
        <w:rPr>
          <w:rFonts w:eastAsia="仿宋_GB2312"/>
          <w:sz w:val="32"/>
          <w:szCs w:val="32"/>
        </w:rPr>
        <w:t>[Z].</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[15]GB/T 10610,</w:t>
      </w:r>
      <w:r w:rsidRPr="00640B84">
        <w:rPr>
          <w:rFonts w:eastAsia="仿宋_GB2312"/>
          <w:sz w:val="32"/>
          <w:szCs w:val="32"/>
        </w:rPr>
        <w:t>产品几何技术规范（</w:t>
      </w:r>
      <w:r w:rsidRPr="00640B84">
        <w:rPr>
          <w:rFonts w:eastAsia="仿宋_GB2312"/>
          <w:sz w:val="32"/>
          <w:szCs w:val="32"/>
        </w:rPr>
        <w:t>GPS</w:t>
      </w:r>
      <w:r w:rsidRPr="00640B84">
        <w:rPr>
          <w:rFonts w:eastAsia="仿宋_GB2312"/>
          <w:sz w:val="32"/>
          <w:szCs w:val="32"/>
        </w:rPr>
        <w:t>）表面结构轮廓法评定表面结构的规则和方法</w:t>
      </w:r>
      <w:r w:rsidRPr="00640B84">
        <w:rPr>
          <w:rFonts w:eastAsia="仿宋_GB2312"/>
          <w:sz w:val="32"/>
          <w:szCs w:val="32"/>
        </w:rPr>
        <w:t xml:space="preserve"> [S].</w:t>
      </w:r>
    </w:p>
    <w:p w:rsidR="00B777C7" w:rsidRPr="00640B84" w:rsidRDefault="00B777C7" w:rsidP="00B777C7">
      <w:pPr>
        <w:spacing w:line="520" w:lineRule="exact"/>
        <w:ind w:leftChars="50" w:left="105" w:firstLineChars="150" w:firstLine="480"/>
        <w:rPr>
          <w:rFonts w:eastAsia="仿宋_GB2312"/>
          <w:sz w:val="32"/>
          <w:szCs w:val="32"/>
        </w:rPr>
      </w:pPr>
      <w:r w:rsidRPr="00640B84">
        <w:rPr>
          <w:rFonts w:eastAsia="仿宋_GB2312"/>
          <w:sz w:val="32"/>
          <w:szCs w:val="32"/>
        </w:rPr>
        <w:t>[16]GB/T 14233.1,</w:t>
      </w:r>
      <w:r w:rsidRPr="00640B84">
        <w:rPr>
          <w:rFonts w:eastAsia="仿宋_GB2312"/>
          <w:sz w:val="32"/>
          <w:szCs w:val="32"/>
        </w:rPr>
        <w:t>医用输液、输血、注射器具检验方法第</w:t>
      </w:r>
      <w:r w:rsidRPr="00640B84">
        <w:rPr>
          <w:rFonts w:eastAsia="仿宋_GB2312"/>
          <w:sz w:val="32"/>
          <w:szCs w:val="32"/>
        </w:rPr>
        <w:t>1</w:t>
      </w:r>
      <w:r w:rsidRPr="00640B84">
        <w:rPr>
          <w:rFonts w:eastAsia="仿宋_GB2312"/>
          <w:sz w:val="32"/>
          <w:szCs w:val="32"/>
        </w:rPr>
        <w:t>部分：化学分析方法</w:t>
      </w:r>
      <w:r w:rsidRPr="00640B84">
        <w:rPr>
          <w:rFonts w:eastAsia="仿宋_GB2312"/>
          <w:sz w:val="32"/>
          <w:szCs w:val="32"/>
        </w:rPr>
        <w:t xml:space="preserve"> [S].</w:t>
      </w:r>
    </w:p>
    <w:p w:rsidR="00B777C7" w:rsidRPr="00640B84" w:rsidRDefault="00B777C7" w:rsidP="00B777C7">
      <w:pPr>
        <w:spacing w:line="520" w:lineRule="exact"/>
        <w:ind w:leftChars="50" w:left="105" w:firstLineChars="150" w:firstLine="480"/>
        <w:rPr>
          <w:rFonts w:eastAsia="仿宋_GB2312"/>
          <w:sz w:val="32"/>
          <w:szCs w:val="32"/>
        </w:rPr>
      </w:pPr>
      <w:r w:rsidRPr="00640B84">
        <w:rPr>
          <w:rFonts w:eastAsia="仿宋_GB2312"/>
          <w:sz w:val="32"/>
          <w:szCs w:val="32"/>
        </w:rPr>
        <w:t>[17]GB/T 14233.2,</w:t>
      </w:r>
      <w:r w:rsidRPr="00640B84">
        <w:rPr>
          <w:rFonts w:eastAsia="仿宋_GB2312"/>
          <w:sz w:val="32"/>
          <w:szCs w:val="32"/>
        </w:rPr>
        <w:t>医用输液、输血、注射器具检验方法第</w:t>
      </w:r>
      <w:r w:rsidRPr="00640B84">
        <w:rPr>
          <w:rFonts w:eastAsia="仿宋_GB2312"/>
          <w:sz w:val="32"/>
          <w:szCs w:val="32"/>
        </w:rPr>
        <w:t>2</w:t>
      </w:r>
      <w:r w:rsidRPr="00640B84">
        <w:rPr>
          <w:rFonts w:eastAsia="仿宋_GB2312"/>
          <w:sz w:val="32"/>
          <w:szCs w:val="32"/>
        </w:rPr>
        <w:t>部分：生物试验方法</w:t>
      </w:r>
      <w:r w:rsidRPr="00640B84">
        <w:rPr>
          <w:rFonts w:eastAsia="仿宋_GB2312"/>
          <w:sz w:val="32"/>
          <w:szCs w:val="32"/>
        </w:rPr>
        <w:t xml:space="preserve">[S]. </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[18]GB/T 16886,</w:t>
      </w:r>
      <w:r w:rsidRPr="00640B84">
        <w:rPr>
          <w:rFonts w:eastAsia="仿宋_GB2312"/>
          <w:sz w:val="32"/>
          <w:szCs w:val="32"/>
        </w:rPr>
        <w:t>医疗器械生物学评价系列标准</w:t>
      </w:r>
      <w:r w:rsidRPr="00640B84">
        <w:rPr>
          <w:rFonts w:eastAsia="仿宋_GB2312"/>
          <w:sz w:val="32"/>
          <w:szCs w:val="32"/>
        </w:rPr>
        <w:t>[S].</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[19]GB 18278.1,</w:t>
      </w:r>
      <w:r w:rsidRPr="00640B84">
        <w:rPr>
          <w:rFonts w:eastAsia="仿宋_GB2312"/>
          <w:sz w:val="32"/>
          <w:szCs w:val="32"/>
        </w:rPr>
        <w:t>医疗保健产品灭菌湿热</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部分：医疗器械灭菌过程的开发、确认和常规控制要求</w:t>
      </w:r>
      <w:r w:rsidRPr="00640B84">
        <w:rPr>
          <w:rFonts w:eastAsia="仿宋_GB2312"/>
          <w:sz w:val="32"/>
          <w:szCs w:val="32"/>
        </w:rPr>
        <w:t xml:space="preserve">[S]. </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[20]GB 18279.1,</w:t>
      </w:r>
      <w:r w:rsidRPr="00640B84">
        <w:rPr>
          <w:rFonts w:eastAsia="仿宋_GB2312"/>
          <w:sz w:val="32"/>
          <w:szCs w:val="32"/>
        </w:rPr>
        <w:t>医疗保健产品灭菌环氧乙烷</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部分：医疗器械灭菌过程的开发、确认和常规控制的要求</w:t>
      </w:r>
      <w:r w:rsidRPr="00640B84">
        <w:rPr>
          <w:rFonts w:eastAsia="仿宋_GB2312"/>
          <w:sz w:val="32"/>
          <w:szCs w:val="32"/>
        </w:rPr>
        <w:t>[S].</w:t>
      </w:r>
    </w:p>
    <w:p w:rsidR="00B777C7" w:rsidRPr="00640B84" w:rsidRDefault="00B777C7" w:rsidP="00B777C7">
      <w:pPr>
        <w:spacing w:line="520" w:lineRule="exact"/>
        <w:ind w:firstLineChars="200" w:firstLine="640"/>
        <w:rPr>
          <w:rFonts w:eastAsia="仿宋_GB2312"/>
          <w:spacing w:val="-6"/>
          <w:sz w:val="32"/>
          <w:szCs w:val="32"/>
        </w:rPr>
      </w:pPr>
      <w:r w:rsidRPr="00640B84">
        <w:rPr>
          <w:rFonts w:eastAsia="仿宋_GB2312"/>
          <w:sz w:val="32"/>
          <w:szCs w:val="32"/>
        </w:rPr>
        <w:t>[21]</w:t>
      </w:r>
      <w:r w:rsidRPr="00640B84">
        <w:rPr>
          <w:rFonts w:eastAsia="仿宋_GB2312"/>
          <w:spacing w:val="-6"/>
          <w:sz w:val="32"/>
          <w:szCs w:val="32"/>
        </w:rPr>
        <w:t>GB/T 18279.2,</w:t>
      </w:r>
      <w:r w:rsidRPr="00640B84">
        <w:rPr>
          <w:rFonts w:eastAsia="仿宋_GB2312"/>
          <w:spacing w:val="-6"/>
          <w:sz w:val="32"/>
          <w:szCs w:val="32"/>
        </w:rPr>
        <w:t>医疗保健产品的灭菌环氧乙烷</w:t>
      </w:r>
      <w:r w:rsidRPr="00640B84">
        <w:rPr>
          <w:rFonts w:eastAsia="仿宋_GB2312"/>
          <w:spacing w:val="-6"/>
          <w:sz w:val="32"/>
          <w:szCs w:val="32"/>
        </w:rPr>
        <w:t xml:space="preserve"> </w:t>
      </w:r>
      <w:r w:rsidRPr="00640B84">
        <w:rPr>
          <w:rFonts w:eastAsia="仿宋_GB2312"/>
          <w:spacing w:val="-6"/>
          <w:sz w:val="32"/>
          <w:szCs w:val="32"/>
        </w:rPr>
        <w:t>第</w:t>
      </w:r>
      <w:r w:rsidRPr="00640B84">
        <w:rPr>
          <w:rFonts w:eastAsia="仿宋_GB2312"/>
          <w:spacing w:val="-6"/>
          <w:sz w:val="32"/>
          <w:szCs w:val="32"/>
        </w:rPr>
        <w:t>2</w:t>
      </w:r>
      <w:r w:rsidRPr="00640B84">
        <w:rPr>
          <w:rFonts w:eastAsia="仿宋_GB2312"/>
          <w:spacing w:val="-6"/>
          <w:sz w:val="32"/>
          <w:szCs w:val="32"/>
        </w:rPr>
        <w:t>部分：</w:t>
      </w:r>
      <w:r w:rsidRPr="00640B84">
        <w:rPr>
          <w:rFonts w:eastAsia="仿宋_GB2312"/>
          <w:spacing w:val="-6"/>
          <w:sz w:val="32"/>
          <w:szCs w:val="32"/>
        </w:rPr>
        <w:t>GB 18279.1</w:t>
      </w:r>
      <w:r w:rsidRPr="00640B84">
        <w:rPr>
          <w:rFonts w:eastAsia="仿宋_GB2312"/>
          <w:spacing w:val="-6"/>
          <w:sz w:val="32"/>
          <w:szCs w:val="32"/>
        </w:rPr>
        <w:t>应用指南</w:t>
      </w:r>
      <w:r w:rsidRPr="00640B84">
        <w:rPr>
          <w:rFonts w:eastAsia="仿宋_GB2312"/>
          <w:sz w:val="32"/>
          <w:szCs w:val="32"/>
        </w:rPr>
        <w:t>[S].</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[22]GB 18280.1,</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部分：医疗器械灭菌过程的开发、确认和常规控制要求</w:t>
      </w:r>
      <w:r w:rsidRPr="00640B84">
        <w:rPr>
          <w:rFonts w:eastAsia="仿宋_GB2312"/>
          <w:sz w:val="32"/>
          <w:szCs w:val="32"/>
        </w:rPr>
        <w:t>[S].</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[23]GB 18280.2,</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2</w:t>
      </w:r>
      <w:r w:rsidRPr="00640B84">
        <w:rPr>
          <w:rFonts w:eastAsia="仿宋_GB2312"/>
          <w:sz w:val="32"/>
          <w:szCs w:val="32"/>
        </w:rPr>
        <w:t>部分：建立灭菌剂量</w:t>
      </w:r>
      <w:r w:rsidRPr="00640B84">
        <w:rPr>
          <w:rFonts w:eastAsia="仿宋_GB2312"/>
          <w:sz w:val="32"/>
          <w:szCs w:val="32"/>
        </w:rPr>
        <w:t>[S].</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[24]GB/T 18280.3,</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3</w:t>
      </w:r>
      <w:r w:rsidRPr="00640B84">
        <w:rPr>
          <w:rFonts w:eastAsia="仿宋_GB2312"/>
          <w:sz w:val="32"/>
          <w:szCs w:val="32"/>
        </w:rPr>
        <w:t>部分：剂量测量指南</w:t>
      </w:r>
      <w:r w:rsidRPr="00640B84">
        <w:rPr>
          <w:rFonts w:eastAsia="仿宋_GB2312"/>
          <w:sz w:val="32"/>
          <w:szCs w:val="32"/>
        </w:rPr>
        <w:t>[S].</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[25]YY/T 1615,</w:t>
      </w:r>
      <w:r w:rsidRPr="00640B84">
        <w:rPr>
          <w:rFonts w:eastAsia="仿宋_GB2312"/>
          <w:sz w:val="32"/>
          <w:szCs w:val="32"/>
        </w:rPr>
        <w:t>外科植入物钛及钛合金阳极氧化膜通用</w:t>
      </w:r>
      <w:r w:rsidRPr="00640B84">
        <w:rPr>
          <w:rFonts w:eastAsia="仿宋_GB2312"/>
          <w:sz w:val="32"/>
          <w:szCs w:val="32"/>
        </w:rPr>
        <w:lastRenderedPageBreak/>
        <w:t>要求</w:t>
      </w:r>
      <w:r w:rsidRPr="00640B84">
        <w:rPr>
          <w:rFonts w:eastAsia="仿宋_GB2312"/>
          <w:sz w:val="32"/>
          <w:szCs w:val="32"/>
        </w:rPr>
        <w:t>[S].</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[26]YY/T 0343,</w:t>
      </w:r>
      <w:r w:rsidRPr="00640B84">
        <w:rPr>
          <w:rFonts w:eastAsia="仿宋_GB2312"/>
          <w:sz w:val="32"/>
          <w:szCs w:val="32"/>
        </w:rPr>
        <w:t>外科金属植入物液体渗透检验</w:t>
      </w:r>
      <w:r w:rsidRPr="00640B84">
        <w:rPr>
          <w:rFonts w:eastAsia="仿宋_GB2312"/>
          <w:sz w:val="32"/>
          <w:szCs w:val="32"/>
        </w:rPr>
        <w:t>[S].</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[27]GB/T 3505,</w:t>
      </w:r>
      <w:r w:rsidRPr="00640B84">
        <w:rPr>
          <w:rFonts w:eastAsia="仿宋_GB2312"/>
          <w:sz w:val="32"/>
          <w:szCs w:val="32"/>
        </w:rPr>
        <w:t>产品几何技术规范（</w:t>
      </w:r>
      <w:r w:rsidRPr="00640B84">
        <w:rPr>
          <w:rFonts w:eastAsia="仿宋_GB2312"/>
          <w:sz w:val="32"/>
          <w:szCs w:val="32"/>
        </w:rPr>
        <w:t>GPS</w:t>
      </w:r>
      <w:r w:rsidRPr="00640B84">
        <w:rPr>
          <w:rFonts w:eastAsia="仿宋_GB2312"/>
          <w:sz w:val="32"/>
          <w:szCs w:val="32"/>
        </w:rPr>
        <w:t>）表面结构：轮廓法术语、定义及表面结构参数</w:t>
      </w:r>
      <w:r w:rsidRPr="00640B84">
        <w:rPr>
          <w:rFonts w:eastAsia="仿宋_GB2312"/>
          <w:sz w:val="32"/>
          <w:szCs w:val="32"/>
        </w:rPr>
        <w:t>[S].</w:t>
      </w:r>
    </w:p>
    <w:p w:rsidR="00B777C7" w:rsidRPr="00640B84" w:rsidRDefault="00B777C7" w:rsidP="00B777C7">
      <w:pPr>
        <w:spacing w:line="520" w:lineRule="exact"/>
        <w:ind w:firstLineChars="200" w:firstLine="640"/>
        <w:textAlignment w:val="center"/>
        <w:rPr>
          <w:rFonts w:eastAsia="仿宋_GB2312"/>
          <w:kern w:val="0"/>
          <w:sz w:val="32"/>
          <w:szCs w:val="32"/>
        </w:rPr>
      </w:pPr>
      <w:r w:rsidRPr="00640B84">
        <w:rPr>
          <w:rFonts w:eastAsia="仿宋_GB2312"/>
          <w:sz w:val="32"/>
          <w:szCs w:val="32"/>
        </w:rPr>
        <w:t>[28]</w:t>
      </w:r>
      <w:r w:rsidRPr="00640B84">
        <w:rPr>
          <w:rFonts w:eastAsia="仿宋_GB2312"/>
          <w:kern w:val="0"/>
          <w:sz w:val="32"/>
          <w:szCs w:val="32"/>
        </w:rPr>
        <w:t>YY/T 1427,</w:t>
      </w:r>
      <w:r w:rsidRPr="00640B84">
        <w:rPr>
          <w:rFonts w:eastAsia="仿宋_GB2312"/>
          <w:kern w:val="0"/>
          <w:sz w:val="32"/>
          <w:szCs w:val="32"/>
        </w:rPr>
        <w:t>外科植入物</w:t>
      </w:r>
      <w:r w:rsidRPr="00640B84">
        <w:rPr>
          <w:rFonts w:eastAsia="仿宋_GB2312"/>
          <w:kern w:val="0"/>
          <w:sz w:val="32"/>
          <w:szCs w:val="32"/>
        </w:rPr>
        <w:t xml:space="preserve"> </w:t>
      </w:r>
      <w:r w:rsidRPr="00640B84">
        <w:rPr>
          <w:rFonts w:eastAsia="仿宋_GB2312"/>
          <w:kern w:val="0"/>
          <w:sz w:val="32"/>
          <w:szCs w:val="32"/>
        </w:rPr>
        <w:t>可植入材料及医疗器械静态和动态腐蚀试验的测试溶液和条件</w:t>
      </w:r>
      <w:r w:rsidRPr="00640B84">
        <w:rPr>
          <w:rFonts w:eastAsia="仿宋_GB2312"/>
          <w:sz w:val="32"/>
          <w:szCs w:val="32"/>
        </w:rPr>
        <w:t>[S].</w:t>
      </w:r>
    </w:p>
    <w:p w:rsidR="00B777C7" w:rsidRPr="00640B84" w:rsidRDefault="00B777C7" w:rsidP="00B777C7">
      <w:pPr>
        <w:spacing w:line="520" w:lineRule="exact"/>
        <w:ind w:firstLineChars="200" w:firstLine="640"/>
        <w:textAlignment w:val="center"/>
        <w:rPr>
          <w:rFonts w:eastAsia="仿宋_GB2312"/>
          <w:kern w:val="0"/>
          <w:sz w:val="32"/>
          <w:szCs w:val="32"/>
        </w:rPr>
      </w:pPr>
      <w:r w:rsidRPr="00640B84">
        <w:rPr>
          <w:rFonts w:eastAsia="仿宋_GB2312"/>
          <w:sz w:val="32"/>
          <w:szCs w:val="32"/>
        </w:rPr>
        <w:t>[29]</w:t>
      </w:r>
      <w:r w:rsidRPr="00640B84">
        <w:rPr>
          <w:rFonts w:eastAsia="仿宋_GB2312"/>
          <w:kern w:val="0"/>
          <w:sz w:val="32"/>
          <w:szCs w:val="32"/>
        </w:rPr>
        <w:t>YY/T 1552</w:t>
      </w:r>
      <w:r w:rsidRPr="00640B84">
        <w:rPr>
          <w:rFonts w:eastAsia="仿宋_GB2312"/>
          <w:sz w:val="32"/>
          <w:szCs w:val="32"/>
        </w:rPr>
        <w:t>,</w:t>
      </w:r>
      <w:r w:rsidRPr="00640B84">
        <w:rPr>
          <w:rFonts w:eastAsia="仿宋_GB2312"/>
          <w:kern w:val="0"/>
          <w:sz w:val="32"/>
          <w:szCs w:val="32"/>
        </w:rPr>
        <w:t>外科植入物</w:t>
      </w:r>
      <w:r w:rsidRPr="00640B84">
        <w:rPr>
          <w:rFonts w:eastAsia="仿宋_GB2312"/>
          <w:kern w:val="0"/>
          <w:sz w:val="32"/>
          <w:szCs w:val="32"/>
        </w:rPr>
        <w:t xml:space="preserve"> </w:t>
      </w:r>
      <w:r w:rsidRPr="00640B84">
        <w:rPr>
          <w:rFonts w:eastAsia="仿宋_GB2312"/>
          <w:kern w:val="0"/>
          <w:sz w:val="32"/>
          <w:szCs w:val="32"/>
        </w:rPr>
        <w:t>评价金属植入材料和医疗器械长期腐蚀行为的开路电位测量方法</w:t>
      </w:r>
      <w:r w:rsidRPr="00640B84">
        <w:rPr>
          <w:rFonts w:eastAsia="仿宋_GB2312"/>
          <w:sz w:val="32"/>
          <w:szCs w:val="32"/>
        </w:rPr>
        <w:t>[S].</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[30]YY/T 0640,</w:t>
      </w:r>
      <w:r w:rsidRPr="00640B84">
        <w:rPr>
          <w:rFonts w:eastAsia="仿宋_GB2312"/>
          <w:sz w:val="32"/>
          <w:szCs w:val="32"/>
        </w:rPr>
        <w:t>无源外科植入物通用要求</w:t>
      </w:r>
      <w:r w:rsidRPr="00640B84">
        <w:rPr>
          <w:rFonts w:eastAsia="仿宋_GB2312"/>
          <w:sz w:val="32"/>
          <w:szCs w:val="32"/>
        </w:rPr>
        <w:t xml:space="preserve">[S]. </w:t>
      </w:r>
    </w:p>
    <w:p w:rsidR="00B777C7" w:rsidRPr="00640B84" w:rsidRDefault="00B777C7" w:rsidP="00B777C7">
      <w:pPr>
        <w:spacing w:line="520" w:lineRule="exact"/>
        <w:ind w:firstLineChars="200" w:firstLine="640"/>
        <w:textAlignment w:val="center"/>
        <w:rPr>
          <w:rFonts w:eastAsia="仿宋_GB2312"/>
          <w:kern w:val="0"/>
          <w:sz w:val="32"/>
          <w:szCs w:val="32"/>
        </w:rPr>
      </w:pPr>
      <w:r w:rsidRPr="00640B84">
        <w:rPr>
          <w:rFonts w:eastAsia="仿宋_GB2312"/>
          <w:kern w:val="0"/>
          <w:sz w:val="32"/>
          <w:szCs w:val="32"/>
        </w:rPr>
        <w:t>[31]YY/T 0313,</w:t>
      </w:r>
      <w:r w:rsidRPr="00640B84">
        <w:rPr>
          <w:rFonts w:eastAsia="仿宋_GB2312"/>
          <w:kern w:val="0"/>
          <w:sz w:val="32"/>
          <w:szCs w:val="32"/>
        </w:rPr>
        <w:t>医用高分子制品包装、标志、运输和贮存</w:t>
      </w:r>
    </w:p>
    <w:p w:rsidR="00B777C7" w:rsidRPr="00640B84" w:rsidRDefault="00B777C7" w:rsidP="00B777C7">
      <w:pPr>
        <w:spacing w:line="520" w:lineRule="exact"/>
        <w:ind w:firstLineChars="200" w:firstLine="640"/>
        <w:textAlignment w:val="center"/>
        <w:rPr>
          <w:rFonts w:eastAsia="仿宋_GB2312"/>
          <w:kern w:val="0"/>
          <w:sz w:val="32"/>
          <w:szCs w:val="32"/>
        </w:rPr>
      </w:pPr>
      <w:r w:rsidRPr="00640B84">
        <w:rPr>
          <w:rFonts w:eastAsia="仿宋_GB2312"/>
          <w:kern w:val="0"/>
          <w:sz w:val="32"/>
          <w:szCs w:val="32"/>
        </w:rPr>
        <w:t>[32]YY/T 0466.1,</w:t>
      </w:r>
      <w:r w:rsidRPr="00640B84">
        <w:rPr>
          <w:rFonts w:eastAsia="仿宋_GB2312"/>
          <w:kern w:val="0"/>
          <w:sz w:val="32"/>
          <w:szCs w:val="32"/>
        </w:rPr>
        <w:t>医疗器械用于医疗器械标签、标记和提供信息的符号</w:t>
      </w:r>
      <w:r w:rsidRPr="00640B84">
        <w:rPr>
          <w:rFonts w:eastAsia="仿宋_GB2312"/>
          <w:kern w:val="0"/>
          <w:sz w:val="32"/>
          <w:szCs w:val="32"/>
        </w:rPr>
        <w:t xml:space="preserve"> </w:t>
      </w:r>
      <w:r w:rsidRPr="00640B84">
        <w:rPr>
          <w:rFonts w:eastAsia="仿宋_GB2312"/>
          <w:kern w:val="0"/>
          <w:sz w:val="32"/>
          <w:szCs w:val="32"/>
        </w:rPr>
        <w:t>第</w:t>
      </w:r>
      <w:r w:rsidRPr="00640B84">
        <w:rPr>
          <w:rFonts w:eastAsia="仿宋_GB2312"/>
          <w:kern w:val="0"/>
          <w:sz w:val="32"/>
          <w:szCs w:val="32"/>
        </w:rPr>
        <w:t>1</w:t>
      </w:r>
      <w:r w:rsidRPr="00640B84">
        <w:rPr>
          <w:rFonts w:eastAsia="仿宋_GB2312"/>
          <w:kern w:val="0"/>
          <w:sz w:val="32"/>
          <w:szCs w:val="32"/>
        </w:rPr>
        <w:t>部分</w:t>
      </w:r>
      <w:r w:rsidRPr="00640B84">
        <w:rPr>
          <w:rFonts w:eastAsia="仿宋_GB2312"/>
          <w:kern w:val="0"/>
          <w:sz w:val="32"/>
          <w:szCs w:val="32"/>
        </w:rPr>
        <w:t xml:space="preserve"> </w:t>
      </w:r>
      <w:r w:rsidRPr="00640B84">
        <w:rPr>
          <w:rFonts w:eastAsia="仿宋_GB2312"/>
          <w:kern w:val="0"/>
          <w:sz w:val="32"/>
          <w:szCs w:val="32"/>
        </w:rPr>
        <w:t>通用要求</w:t>
      </w:r>
    </w:p>
    <w:p w:rsidR="00B777C7" w:rsidRPr="00640B84" w:rsidRDefault="00B777C7" w:rsidP="00B777C7">
      <w:pPr>
        <w:spacing w:line="520" w:lineRule="exact"/>
        <w:ind w:firstLineChars="200" w:firstLine="640"/>
        <w:textAlignment w:val="center"/>
        <w:rPr>
          <w:rFonts w:eastAsia="仿宋_GB2312"/>
          <w:kern w:val="0"/>
          <w:sz w:val="32"/>
          <w:szCs w:val="32"/>
        </w:rPr>
      </w:pPr>
      <w:r w:rsidRPr="00640B84">
        <w:rPr>
          <w:rFonts w:eastAsia="仿宋_GB2312"/>
          <w:kern w:val="0"/>
          <w:sz w:val="32"/>
          <w:szCs w:val="32"/>
        </w:rPr>
        <w:t>[33</w:t>
      </w:r>
      <w:r w:rsidRPr="00640B84">
        <w:rPr>
          <w:rFonts w:eastAsia="仿宋_GB2312"/>
          <w:sz w:val="32"/>
          <w:szCs w:val="32"/>
        </w:rPr>
        <w:t>]</w:t>
      </w:r>
      <w:r w:rsidRPr="00640B84">
        <w:rPr>
          <w:rFonts w:eastAsia="仿宋_GB2312"/>
          <w:kern w:val="0"/>
          <w:sz w:val="32"/>
          <w:szCs w:val="32"/>
        </w:rPr>
        <w:t>YY/T 0466.1,</w:t>
      </w:r>
      <w:r w:rsidRPr="00640B84">
        <w:rPr>
          <w:rFonts w:eastAsia="仿宋_GB2312"/>
          <w:kern w:val="0"/>
          <w:sz w:val="32"/>
          <w:szCs w:val="32"/>
        </w:rPr>
        <w:t>医疗器械用于医疗器械标签、标记和提供信息的符号</w:t>
      </w:r>
      <w:r w:rsidRPr="00640B84">
        <w:rPr>
          <w:rFonts w:eastAsia="仿宋_GB2312"/>
          <w:kern w:val="0"/>
          <w:sz w:val="32"/>
          <w:szCs w:val="32"/>
        </w:rPr>
        <w:t xml:space="preserve"> </w:t>
      </w:r>
      <w:r w:rsidRPr="00640B84">
        <w:rPr>
          <w:rFonts w:eastAsia="仿宋_GB2312"/>
          <w:kern w:val="0"/>
          <w:sz w:val="32"/>
          <w:szCs w:val="32"/>
        </w:rPr>
        <w:t>第</w:t>
      </w:r>
      <w:r w:rsidRPr="00640B84">
        <w:rPr>
          <w:rFonts w:eastAsia="仿宋_GB2312"/>
          <w:kern w:val="0"/>
          <w:sz w:val="32"/>
          <w:szCs w:val="32"/>
        </w:rPr>
        <w:t>1</w:t>
      </w:r>
      <w:r w:rsidRPr="00640B84">
        <w:rPr>
          <w:rFonts w:eastAsia="仿宋_GB2312"/>
          <w:kern w:val="0"/>
          <w:sz w:val="32"/>
          <w:szCs w:val="32"/>
        </w:rPr>
        <w:t>部分</w:t>
      </w:r>
      <w:r w:rsidRPr="00640B84">
        <w:rPr>
          <w:rFonts w:eastAsia="仿宋_GB2312"/>
          <w:kern w:val="0"/>
          <w:sz w:val="32"/>
          <w:szCs w:val="32"/>
        </w:rPr>
        <w:t xml:space="preserve"> </w:t>
      </w:r>
      <w:r w:rsidRPr="00640B84">
        <w:rPr>
          <w:rFonts w:eastAsia="仿宋_GB2312"/>
          <w:kern w:val="0"/>
          <w:sz w:val="32"/>
          <w:szCs w:val="32"/>
        </w:rPr>
        <w:t>通用要求</w:t>
      </w:r>
    </w:p>
    <w:p w:rsidR="00B777C7" w:rsidRPr="00640B84" w:rsidRDefault="00B777C7" w:rsidP="00B777C7">
      <w:pPr>
        <w:spacing w:line="520" w:lineRule="exact"/>
        <w:ind w:firstLineChars="200" w:firstLine="640"/>
        <w:textAlignment w:val="center"/>
        <w:rPr>
          <w:rFonts w:eastAsia="仿宋_GB2312"/>
          <w:kern w:val="0"/>
          <w:sz w:val="32"/>
          <w:szCs w:val="32"/>
        </w:rPr>
      </w:pPr>
      <w:r w:rsidRPr="00640B84">
        <w:rPr>
          <w:rFonts w:eastAsia="仿宋_GB2312"/>
          <w:kern w:val="0"/>
          <w:sz w:val="32"/>
          <w:szCs w:val="32"/>
        </w:rPr>
        <w:t>[34</w:t>
      </w:r>
      <w:r w:rsidRPr="00640B84">
        <w:rPr>
          <w:rFonts w:eastAsia="仿宋_GB2312"/>
          <w:sz w:val="32"/>
          <w:szCs w:val="32"/>
        </w:rPr>
        <w:t>]</w:t>
      </w:r>
      <w:r w:rsidRPr="00640B84">
        <w:rPr>
          <w:rFonts w:eastAsia="仿宋_GB2312"/>
          <w:kern w:val="0"/>
          <w:sz w:val="32"/>
          <w:szCs w:val="32"/>
        </w:rPr>
        <w:t>YY 0341.1,</w:t>
      </w:r>
      <w:r w:rsidRPr="00640B84">
        <w:rPr>
          <w:rFonts w:eastAsia="仿宋_GB2312"/>
          <w:kern w:val="0"/>
          <w:sz w:val="32"/>
          <w:szCs w:val="32"/>
        </w:rPr>
        <w:t>无源外科植入物</w:t>
      </w:r>
      <w:r w:rsidRPr="00640B84">
        <w:rPr>
          <w:rFonts w:eastAsia="仿宋_GB2312"/>
          <w:kern w:val="0"/>
          <w:sz w:val="32"/>
          <w:szCs w:val="32"/>
        </w:rPr>
        <w:t xml:space="preserve"> </w:t>
      </w:r>
      <w:r w:rsidRPr="00640B84">
        <w:rPr>
          <w:rFonts w:eastAsia="仿宋_GB2312"/>
          <w:kern w:val="0"/>
          <w:sz w:val="32"/>
          <w:szCs w:val="32"/>
        </w:rPr>
        <w:t>骨接合与脊柱植入物</w:t>
      </w:r>
      <w:r w:rsidRPr="00640B84">
        <w:rPr>
          <w:rFonts w:eastAsia="仿宋_GB2312"/>
          <w:kern w:val="0"/>
          <w:sz w:val="32"/>
          <w:szCs w:val="32"/>
        </w:rPr>
        <w:t xml:space="preserve"> </w:t>
      </w:r>
      <w:r w:rsidRPr="00640B84">
        <w:rPr>
          <w:rFonts w:eastAsia="仿宋_GB2312"/>
          <w:kern w:val="0"/>
          <w:sz w:val="32"/>
          <w:szCs w:val="32"/>
        </w:rPr>
        <w:t>第</w:t>
      </w:r>
      <w:r w:rsidRPr="00640B84">
        <w:rPr>
          <w:rFonts w:eastAsia="仿宋_GB2312"/>
          <w:kern w:val="0"/>
          <w:sz w:val="32"/>
          <w:szCs w:val="32"/>
        </w:rPr>
        <w:t>1</w:t>
      </w:r>
      <w:r w:rsidRPr="00640B84">
        <w:rPr>
          <w:rFonts w:eastAsia="仿宋_GB2312"/>
          <w:kern w:val="0"/>
          <w:sz w:val="32"/>
          <w:szCs w:val="32"/>
        </w:rPr>
        <w:t>部分：骨接合植入物特殊要求</w:t>
      </w:r>
    </w:p>
    <w:p w:rsidR="00B777C7" w:rsidRPr="00640B84" w:rsidRDefault="00B777C7" w:rsidP="00B777C7">
      <w:pPr>
        <w:spacing w:line="520" w:lineRule="exact"/>
        <w:ind w:firstLineChars="200" w:firstLine="640"/>
        <w:rPr>
          <w:rFonts w:eastAsia="仿宋_GB2312"/>
          <w:sz w:val="32"/>
          <w:szCs w:val="32"/>
        </w:rPr>
      </w:pPr>
      <w:r w:rsidRPr="00640B84">
        <w:rPr>
          <w:rFonts w:eastAsia="仿宋_GB2312"/>
          <w:sz w:val="32"/>
          <w:szCs w:val="32"/>
        </w:rPr>
        <w:t>[35]</w:t>
      </w:r>
      <w:r w:rsidRPr="00640B84">
        <w:rPr>
          <w:rFonts w:eastAsia="仿宋_GB2312"/>
          <w:kern w:val="0"/>
          <w:sz w:val="32"/>
          <w:szCs w:val="32"/>
        </w:rPr>
        <w:t>ISO 19227</w:t>
      </w:r>
      <w:r w:rsidRPr="00640B84">
        <w:rPr>
          <w:rFonts w:eastAsia="仿宋_GB2312"/>
          <w:sz w:val="32"/>
          <w:szCs w:val="32"/>
        </w:rPr>
        <w:t>,</w:t>
      </w:r>
      <w:r w:rsidRPr="00640B84">
        <w:rPr>
          <w:rFonts w:eastAsia="仿宋_GB2312"/>
          <w:kern w:val="0"/>
          <w:sz w:val="32"/>
          <w:szCs w:val="32"/>
        </w:rPr>
        <w:t>外科植入物的清洁度</w:t>
      </w:r>
      <w:r w:rsidRPr="00640B84">
        <w:rPr>
          <w:rFonts w:eastAsia="仿宋_GB2312"/>
          <w:kern w:val="0"/>
          <w:sz w:val="32"/>
          <w:szCs w:val="32"/>
        </w:rPr>
        <w:t xml:space="preserve"> </w:t>
      </w:r>
      <w:r w:rsidRPr="00640B84">
        <w:rPr>
          <w:rFonts w:eastAsia="仿宋_GB2312"/>
          <w:kern w:val="0"/>
          <w:sz w:val="32"/>
          <w:szCs w:val="32"/>
        </w:rPr>
        <w:t>通用要求</w:t>
      </w:r>
      <w:r w:rsidRPr="00640B84">
        <w:rPr>
          <w:rFonts w:eastAsia="仿宋_GB2312"/>
          <w:sz w:val="32"/>
          <w:szCs w:val="32"/>
        </w:rPr>
        <w:t>[S].</w:t>
      </w:r>
    </w:p>
    <w:p w:rsidR="00B777C7" w:rsidRPr="00640B84" w:rsidRDefault="00B777C7" w:rsidP="00B777C7">
      <w:pPr>
        <w:overflowPunct w:val="0"/>
        <w:spacing w:line="520" w:lineRule="exact"/>
        <w:rPr>
          <w:rFonts w:eastAsia="仿宋_GB2312"/>
          <w:color w:val="000000"/>
          <w:sz w:val="32"/>
          <w:szCs w:val="32"/>
        </w:rPr>
      </w:pPr>
    </w:p>
    <w:p w:rsidR="00B777C7" w:rsidRPr="00640B84" w:rsidRDefault="00B777C7" w:rsidP="00B777C7">
      <w:pPr>
        <w:overflowPunct w:val="0"/>
        <w:spacing w:line="520" w:lineRule="exact"/>
        <w:rPr>
          <w:rFonts w:eastAsia="仿宋_GB2312"/>
          <w:color w:val="000000"/>
          <w:sz w:val="32"/>
          <w:szCs w:val="32"/>
        </w:rPr>
      </w:pPr>
    </w:p>
    <w:p w:rsidR="00B777C7" w:rsidRPr="00640B84" w:rsidRDefault="00B777C7" w:rsidP="00B777C7">
      <w:pPr>
        <w:overflowPunct w:val="0"/>
        <w:spacing w:line="520" w:lineRule="exact"/>
        <w:rPr>
          <w:rFonts w:eastAsia="仿宋_GB2312"/>
          <w:color w:val="000000"/>
          <w:sz w:val="32"/>
          <w:szCs w:val="32"/>
        </w:rPr>
      </w:pPr>
    </w:p>
    <w:p w:rsidR="00B777C7" w:rsidRDefault="00B777C7" w:rsidP="00B777C7">
      <w:pPr>
        <w:overflowPunct w:val="0"/>
        <w:spacing w:line="520" w:lineRule="exact"/>
        <w:rPr>
          <w:rFonts w:eastAsia="仿宋_GB2312"/>
          <w:color w:val="000000"/>
          <w:sz w:val="32"/>
          <w:szCs w:val="32"/>
        </w:rPr>
      </w:pPr>
    </w:p>
    <w:p w:rsidR="00B777C7" w:rsidRDefault="00B777C7" w:rsidP="00B777C7">
      <w:pPr>
        <w:overflowPunct w:val="0"/>
        <w:spacing w:line="520" w:lineRule="exact"/>
        <w:rPr>
          <w:rFonts w:eastAsia="仿宋_GB2312"/>
          <w:color w:val="000000"/>
          <w:sz w:val="32"/>
          <w:szCs w:val="32"/>
        </w:rPr>
      </w:pPr>
    </w:p>
    <w:p w:rsidR="00B777C7" w:rsidRDefault="00B777C7" w:rsidP="00B777C7">
      <w:pPr>
        <w:overflowPunct w:val="0"/>
        <w:spacing w:line="520" w:lineRule="exact"/>
        <w:rPr>
          <w:rFonts w:eastAsia="仿宋_GB2312"/>
          <w:color w:val="000000"/>
          <w:sz w:val="32"/>
          <w:szCs w:val="32"/>
        </w:rPr>
      </w:pPr>
    </w:p>
    <w:p w:rsidR="004A0C2C" w:rsidRPr="00B777C7" w:rsidRDefault="004A0C2C" w:rsidP="00B777C7">
      <w:bookmarkStart w:id="0" w:name="_GoBack"/>
      <w:bookmarkEnd w:id="0"/>
    </w:p>
    <w:sectPr w:rsidR="004A0C2C" w:rsidRPr="00B777C7" w:rsidSect="00C2225C">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CC1" w:rsidRDefault="009F1CC1">
      <w:r>
        <w:separator/>
      </w:r>
    </w:p>
  </w:endnote>
  <w:endnote w:type="continuationSeparator" w:id="0">
    <w:p w:rsidR="009F1CC1" w:rsidRDefault="009F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docPartObj>
        <w:docPartGallery w:val="Page Numbers (Bottom of Page)"/>
        <w:docPartUnique/>
      </w:docPartObj>
    </w:sdtPr>
    <w:sdtEndPr>
      <w:rPr>
        <w:rFonts w:ascii="Times New Roman" w:hAnsi="Times New Roman" w:cs="Times New Roman"/>
        <w:sz w:val="28"/>
        <w:szCs w:val="28"/>
      </w:rPr>
    </w:sdtEndPr>
    <w:sdtContent>
      <w:p w:rsidR="00324F58" w:rsidRPr="00FE0A65" w:rsidRDefault="00B02141" w:rsidP="00FE0A65">
        <w:pPr>
          <w:pStyle w:val="af0"/>
          <w:numPr>
            <w:ilvl w:val="0"/>
            <w:numId w:val="3"/>
          </w:numPr>
          <w:rPr>
            <w:rFonts w:ascii="Times New Roman" w:hAnsi="Times New Roman" w:cs="Times New Roman"/>
            <w:sz w:val="28"/>
            <w:szCs w:val="28"/>
          </w:rPr>
        </w:pPr>
        <w:r w:rsidRPr="00FE0A65">
          <w:rPr>
            <w:rFonts w:ascii="Times New Roman" w:hAnsi="Times New Roman" w:cs="Times New Roman"/>
            <w:sz w:val="28"/>
            <w:szCs w:val="28"/>
          </w:rPr>
          <w:fldChar w:fldCharType="begin"/>
        </w:r>
        <w:r w:rsidR="00324F58"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00B777C7" w:rsidRPr="00B777C7">
          <w:rPr>
            <w:rFonts w:ascii="Times New Roman" w:hAnsi="Times New Roman" w:cs="Times New Roman"/>
            <w:noProof/>
            <w:sz w:val="28"/>
            <w:szCs w:val="28"/>
            <w:lang w:val="zh-CN"/>
          </w:rPr>
          <w:t>18</w:t>
        </w:r>
        <w:r w:rsidRPr="00FE0A65">
          <w:rPr>
            <w:rFonts w:ascii="Times New Roman" w:hAnsi="Times New Roman" w:cs="Times New Roman"/>
            <w:sz w:val="28"/>
            <w:szCs w:val="28"/>
          </w:rPr>
          <w:fldChar w:fldCharType="end"/>
        </w:r>
        <w:r w:rsidR="00324F58" w:rsidRPr="00FE0A65">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docPartObj>
        <w:docPartGallery w:val="Page Numbers (Bottom of Page)"/>
        <w:docPartUnique/>
      </w:docPartObj>
    </w:sdtPr>
    <w:sdtEndPr>
      <w:rPr>
        <w:rFonts w:ascii="Times New Roman" w:hAnsi="Times New Roman" w:cs="Times New Roman"/>
        <w:sz w:val="28"/>
        <w:szCs w:val="28"/>
      </w:rPr>
    </w:sdtEndPr>
    <w:sdtContent>
      <w:p w:rsidR="00324F58" w:rsidRPr="00FE0A65" w:rsidRDefault="00B02141" w:rsidP="00FE0A65">
        <w:pPr>
          <w:pStyle w:val="af0"/>
          <w:numPr>
            <w:ilvl w:val="0"/>
            <w:numId w:val="2"/>
          </w:numPr>
          <w:jc w:val="right"/>
          <w:rPr>
            <w:rFonts w:ascii="Times New Roman" w:hAnsi="Times New Roman" w:cs="Times New Roman"/>
            <w:sz w:val="28"/>
            <w:szCs w:val="28"/>
          </w:rPr>
        </w:pPr>
        <w:r w:rsidRPr="00FE0A65">
          <w:rPr>
            <w:rFonts w:ascii="Times New Roman" w:hAnsi="Times New Roman" w:cs="Times New Roman"/>
            <w:sz w:val="28"/>
            <w:szCs w:val="28"/>
          </w:rPr>
          <w:fldChar w:fldCharType="begin"/>
        </w:r>
        <w:r w:rsidR="00324F58"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00B777C7" w:rsidRPr="00B777C7">
          <w:rPr>
            <w:rFonts w:ascii="Times New Roman" w:hAnsi="Times New Roman" w:cs="Times New Roman"/>
            <w:noProof/>
            <w:sz w:val="28"/>
            <w:szCs w:val="28"/>
            <w:lang w:val="zh-CN"/>
          </w:rPr>
          <w:t>19</w:t>
        </w:r>
        <w:r w:rsidRPr="00FE0A65">
          <w:rPr>
            <w:rFonts w:ascii="Times New Roman" w:hAnsi="Times New Roman" w:cs="Times New Roman"/>
            <w:sz w:val="28"/>
            <w:szCs w:val="28"/>
          </w:rPr>
          <w:fldChar w:fldCharType="end"/>
        </w:r>
        <w:r w:rsidR="00324F58" w:rsidRPr="00FE0A65">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CC1" w:rsidRDefault="009F1CC1">
      <w:r>
        <w:separator/>
      </w:r>
    </w:p>
  </w:footnote>
  <w:footnote w:type="continuationSeparator" w:id="0">
    <w:p w:rsidR="009F1CC1" w:rsidRDefault="009F1C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7FFF4"/>
    <w:multiLevelType w:val="singleLevel"/>
    <w:tmpl w:val="80B7FFF4"/>
    <w:lvl w:ilvl="0">
      <w:start w:val="1"/>
      <w:numFmt w:val="decimal"/>
      <w:lvlText w:val="%1."/>
      <w:lvlJc w:val="left"/>
      <w:pPr>
        <w:tabs>
          <w:tab w:val="left" w:pos="312"/>
        </w:tabs>
      </w:pPr>
    </w:lvl>
  </w:abstractNum>
  <w:abstractNum w:abstractNumId="1" w15:restartNumberingAfterBreak="0">
    <w:nsid w:val="13FF587E"/>
    <w:multiLevelType w:val="hybridMultilevel"/>
    <w:tmpl w:val="C8307BDC"/>
    <w:lvl w:ilvl="0" w:tplc="43D82EA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6D801439"/>
    <w:multiLevelType w:val="hybridMultilevel"/>
    <w:tmpl w:val="E326AC86"/>
    <w:lvl w:ilvl="0" w:tplc="10B0980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4229"/>
    <w:rsid w:val="00000EED"/>
    <w:rsid w:val="000057B9"/>
    <w:rsid w:val="0000618F"/>
    <w:rsid w:val="00010350"/>
    <w:rsid w:val="000109DA"/>
    <w:rsid w:val="00012461"/>
    <w:rsid w:val="00015340"/>
    <w:rsid w:val="0002229B"/>
    <w:rsid w:val="00023667"/>
    <w:rsid w:val="000255D1"/>
    <w:rsid w:val="00027069"/>
    <w:rsid w:val="00041927"/>
    <w:rsid w:val="000451DD"/>
    <w:rsid w:val="0004590D"/>
    <w:rsid w:val="00045F39"/>
    <w:rsid w:val="00050C9D"/>
    <w:rsid w:val="000576EA"/>
    <w:rsid w:val="00057CC9"/>
    <w:rsid w:val="0006105F"/>
    <w:rsid w:val="000612CD"/>
    <w:rsid w:val="0006297B"/>
    <w:rsid w:val="00064168"/>
    <w:rsid w:val="000647ED"/>
    <w:rsid w:val="000674A9"/>
    <w:rsid w:val="00072B84"/>
    <w:rsid w:val="00072BCB"/>
    <w:rsid w:val="00074B45"/>
    <w:rsid w:val="00075BB9"/>
    <w:rsid w:val="00076B6C"/>
    <w:rsid w:val="00076DE2"/>
    <w:rsid w:val="0008207D"/>
    <w:rsid w:val="00085F2B"/>
    <w:rsid w:val="000906D9"/>
    <w:rsid w:val="00095C99"/>
    <w:rsid w:val="000A0B38"/>
    <w:rsid w:val="000A0E14"/>
    <w:rsid w:val="000A4684"/>
    <w:rsid w:val="000A48D9"/>
    <w:rsid w:val="000A5F9C"/>
    <w:rsid w:val="000A6441"/>
    <w:rsid w:val="000A6FDD"/>
    <w:rsid w:val="000A77C3"/>
    <w:rsid w:val="000A7AFD"/>
    <w:rsid w:val="000B3617"/>
    <w:rsid w:val="000B3DD8"/>
    <w:rsid w:val="000B495B"/>
    <w:rsid w:val="000B4FFC"/>
    <w:rsid w:val="000B635E"/>
    <w:rsid w:val="000C161C"/>
    <w:rsid w:val="000C2A37"/>
    <w:rsid w:val="000C2F46"/>
    <w:rsid w:val="000C64CB"/>
    <w:rsid w:val="000D0122"/>
    <w:rsid w:val="000D4EEE"/>
    <w:rsid w:val="000D6334"/>
    <w:rsid w:val="000D78F5"/>
    <w:rsid w:val="000E026C"/>
    <w:rsid w:val="000E0320"/>
    <w:rsid w:val="000E119D"/>
    <w:rsid w:val="000E2221"/>
    <w:rsid w:val="000E6C66"/>
    <w:rsid w:val="000F15C8"/>
    <w:rsid w:val="000F2C81"/>
    <w:rsid w:val="000F2CB2"/>
    <w:rsid w:val="000F3324"/>
    <w:rsid w:val="000F4585"/>
    <w:rsid w:val="000F46CF"/>
    <w:rsid w:val="000F4AB9"/>
    <w:rsid w:val="000F4B5E"/>
    <w:rsid w:val="000F5D81"/>
    <w:rsid w:val="000F63A7"/>
    <w:rsid w:val="000F77B8"/>
    <w:rsid w:val="001005E1"/>
    <w:rsid w:val="0010191D"/>
    <w:rsid w:val="00104864"/>
    <w:rsid w:val="00105FBE"/>
    <w:rsid w:val="00106441"/>
    <w:rsid w:val="001103FF"/>
    <w:rsid w:val="001123CD"/>
    <w:rsid w:val="00112E4F"/>
    <w:rsid w:val="00114D6C"/>
    <w:rsid w:val="00116913"/>
    <w:rsid w:val="001227D3"/>
    <w:rsid w:val="0012298D"/>
    <w:rsid w:val="0012341D"/>
    <w:rsid w:val="00123473"/>
    <w:rsid w:val="001238CE"/>
    <w:rsid w:val="00124493"/>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943"/>
    <w:rsid w:val="00150C44"/>
    <w:rsid w:val="00150DF7"/>
    <w:rsid w:val="00151939"/>
    <w:rsid w:val="00151982"/>
    <w:rsid w:val="00154653"/>
    <w:rsid w:val="00154EBA"/>
    <w:rsid w:val="00155D94"/>
    <w:rsid w:val="00156D06"/>
    <w:rsid w:val="00157E32"/>
    <w:rsid w:val="00160D70"/>
    <w:rsid w:val="00160F6C"/>
    <w:rsid w:val="00161381"/>
    <w:rsid w:val="00164E1C"/>
    <w:rsid w:val="001664A5"/>
    <w:rsid w:val="001678FB"/>
    <w:rsid w:val="0017105B"/>
    <w:rsid w:val="00171360"/>
    <w:rsid w:val="0017147A"/>
    <w:rsid w:val="00173DB1"/>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42E"/>
    <w:rsid w:val="001B19FE"/>
    <w:rsid w:val="001C1750"/>
    <w:rsid w:val="001C3C58"/>
    <w:rsid w:val="001C5D62"/>
    <w:rsid w:val="001C6CAB"/>
    <w:rsid w:val="001D08D8"/>
    <w:rsid w:val="001D12A7"/>
    <w:rsid w:val="001D4D70"/>
    <w:rsid w:val="001D4F1E"/>
    <w:rsid w:val="001D4FBE"/>
    <w:rsid w:val="001D58ED"/>
    <w:rsid w:val="001D7044"/>
    <w:rsid w:val="001E04B6"/>
    <w:rsid w:val="001E0555"/>
    <w:rsid w:val="001E2EDA"/>
    <w:rsid w:val="001E34DA"/>
    <w:rsid w:val="001E45E3"/>
    <w:rsid w:val="001E55B5"/>
    <w:rsid w:val="001E5CC5"/>
    <w:rsid w:val="001E618B"/>
    <w:rsid w:val="001E6646"/>
    <w:rsid w:val="001F2DAA"/>
    <w:rsid w:val="001F4E6F"/>
    <w:rsid w:val="001F7A70"/>
    <w:rsid w:val="00200AF1"/>
    <w:rsid w:val="00204222"/>
    <w:rsid w:val="00206D04"/>
    <w:rsid w:val="00206D39"/>
    <w:rsid w:val="002104D7"/>
    <w:rsid w:val="002129F2"/>
    <w:rsid w:val="00215A20"/>
    <w:rsid w:val="0021667F"/>
    <w:rsid w:val="00217BF8"/>
    <w:rsid w:val="00217D47"/>
    <w:rsid w:val="002201EC"/>
    <w:rsid w:val="00220E14"/>
    <w:rsid w:val="00222B74"/>
    <w:rsid w:val="00225B53"/>
    <w:rsid w:val="00230A24"/>
    <w:rsid w:val="00232A1D"/>
    <w:rsid w:val="0023378D"/>
    <w:rsid w:val="00234831"/>
    <w:rsid w:val="00234FED"/>
    <w:rsid w:val="002400F5"/>
    <w:rsid w:val="00240174"/>
    <w:rsid w:val="0024161C"/>
    <w:rsid w:val="00241DE6"/>
    <w:rsid w:val="00243653"/>
    <w:rsid w:val="00243F4B"/>
    <w:rsid w:val="00244E91"/>
    <w:rsid w:val="00245252"/>
    <w:rsid w:val="00250F56"/>
    <w:rsid w:val="00254EF2"/>
    <w:rsid w:val="00255E06"/>
    <w:rsid w:val="00261680"/>
    <w:rsid w:val="002712C7"/>
    <w:rsid w:val="00271DE5"/>
    <w:rsid w:val="0027317D"/>
    <w:rsid w:val="0027403B"/>
    <w:rsid w:val="002742B3"/>
    <w:rsid w:val="00274BCA"/>
    <w:rsid w:val="002777A7"/>
    <w:rsid w:val="002801D9"/>
    <w:rsid w:val="00280793"/>
    <w:rsid w:val="00281913"/>
    <w:rsid w:val="00283368"/>
    <w:rsid w:val="00283DDB"/>
    <w:rsid w:val="00285DA2"/>
    <w:rsid w:val="00294A33"/>
    <w:rsid w:val="00295455"/>
    <w:rsid w:val="00295783"/>
    <w:rsid w:val="002959FD"/>
    <w:rsid w:val="00295E19"/>
    <w:rsid w:val="002968F2"/>
    <w:rsid w:val="00297227"/>
    <w:rsid w:val="002A04EA"/>
    <w:rsid w:val="002A1209"/>
    <w:rsid w:val="002A289A"/>
    <w:rsid w:val="002A39DB"/>
    <w:rsid w:val="002A4729"/>
    <w:rsid w:val="002A49CB"/>
    <w:rsid w:val="002A7006"/>
    <w:rsid w:val="002A7439"/>
    <w:rsid w:val="002A750E"/>
    <w:rsid w:val="002A7567"/>
    <w:rsid w:val="002B74CA"/>
    <w:rsid w:val="002C198A"/>
    <w:rsid w:val="002C1AA1"/>
    <w:rsid w:val="002C221A"/>
    <w:rsid w:val="002C2806"/>
    <w:rsid w:val="002C462B"/>
    <w:rsid w:val="002C489F"/>
    <w:rsid w:val="002C4A90"/>
    <w:rsid w:val="002C4C4B"/>
    <w:rsid w:val="002C700F"/>
    <w:rsid w:val="002C7317"/>
    <w:rsid w:val="002D26DE"/>
    <w:rsid w:val="002D304D"/>
    <w:rsid w:val="002D3594"/>
    <w:rsid w:val="002D651F"/>
    <w:rsid w:val="002D6C06"/>
    <w:rsid w:val="002D7434"/>
    <w:rsid w:val="002E0583"/>
    <w:rsid w:val="002E2958"/>
    <w:rsid w:val="002E5743"/>
    <w:rsid w:val="002E716D"/>
    <w:rsid w:val="002F162B"/>
    <w:rsid w:val="002F1DB1"/>
    <w:rsid w:val="002F21D3"/>
    <w:rsid w:val="002F30DD"/>
    <w:rsid w:val="002F3776"/>
    <w:rsid w:val="002F51EE"/>
    <w:rsid w:val="002F590E"/>
    <w:rsid w:val="002F62A5"/>
    <w:rsid w:val="002F6AC5"/>
    <w:rsid w:val="002F7478"/>
    <w:rsid w:val="003018B2"/>
    <w:rsid w:val="003048DB"/>
    <w:rsid w:val="003068FE"/>
    <w:rsid w:val="00310B46"/>
    <w:rsid w:val="00310C39"/>
    <w:rsid w:val="00312BE6"/>
    <w:rsid w:val="00316C55"/>
    <w:rsid w:val="00320793"/>
    <w:rsid w:val="003218EC"/>
    <w:rsid w:val="00323664"/>
    <w:rsid w:val="00324F58"/>
    <w:rsid w:val="00327754"/>
    <w:rsid w:val="00327793"/>
    <w:rsid w:val="00330030"/>
    <w:rsid w:val="003310EE"/>
    <w:rsid w:val="00331489"/>
    <w:rsid w:val="003317D7"/>
    <w:rsid w:val="00332302"/>
    <w:rsid w:val="00333A21"/>
    <w:rsid w:val="003351BE"/>
    <w:rsid w:val="00335867"/>
    <w:rsid w:val="00341CF5"/>
    <w:rsid w:val="003458D1"/>
    <w:rsid w:val="00346224"/>
    <w:rsid w:val="00346241"/>
    <w:rsid w:val="00346544"/>
    <w:rsid w:val="00346973"/>
    <w:rsid w:val="003545C2"/>
    <w:rsid w:val="003556DB"/>
    <w:rsid w:val="00355C8C"/>
    <w:rsid w:val="00355E75"/>
    <w:rsid w:val="00355FC6"/>
    <w:rsid w:val="00360521"/>
    <w:rsid w:val="00362365"/>
    <w:rsid w:val="00362DB7"/>
    <w:rsid w:val="003633E4"/>
    <w:rsid w:val="00363A39"/>
    <w:rsid w:val="003662DF"/>
    <w:rsid w:val="00366681"/>
    <w:rsid w:val="00366E12"/>
    <w:rsid w:val="003675E2"/>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1208"/>
    <w:rsid w:val="00393C77"/>
    <w:rsid w:val="0039555A"/>
    <w:rsid w:val="00396A45"/>
    <w:rsid w:val="003A1603"/>
    <w:rsid w:val="003A1B28"/>
    <w:rsid w:val="003A25CA"/>
    <w:rsid w:val="003A3B90"/>
    <w:rsid w:val="003A42DF"/>
    <w:rsid w:val="003B0E4D"/>
    <w:rsid w:val="003B1C28"/>
    <w:rsid w:val="003B1F3C"/>
    <w:rsid w:val="003B39D5"/>
    <w:rsid w:val="003B5343"/>
    <w:rsid w:val="003B593E"/>
    <w:rsid w:val="003B62ED"/>
    <w:rsid w:val="003B65C4"/>
    <w:rsid w:val="003C104B"/>
    <w:rsid w:val="003C16A3"/>
    <w:rsid w:val="003C1B52"/>
    <w:rsid w:val="003C2564"/>
    <w:rsid w:val="003D03D3"/>
    <w:rsid w:val="003D0630"/>
    <w:rsid w:val="003D0701"/>
    <w:rsid w:val="003D1288"/>
    <w:rsid w:val="003D20E8"/>
    <w:rsid w:val="003D229F"/>
    <w:rsid w:val="003D3319"/>
    <w:rsid w:val="003D4CA9"/>
    <w:rsid w:val="003D5F26"/>
    <w:rsid w:val="003E3C30"/>
    <w:rsid w:val="003E3FE9"/>
    <w:rsid w:val="003E4646"/>
    <w:rsid w:val="003E7654"/>
    <w:rsid w:val="003F1C6A"/>
    <w:rsid w:val="003F25D3"/>
    <w:rsid w:val="003F38DA"/>
    <w:rsid w:val="003F4AE7"/>
    <w:rsid w:val="003F5251"/>
    <w:rsid w:val="003F56E6"/>
    <w:rsid w:val="003F6FAA"/>
    <w:rsid w:val="00402B3A"/>
    <w:rsid w:val="00402D48"/>
    <w:rsid w:val="0040403F"/>
    <w:rsid w:val="00405439"/>
    <w:rsid w:val="00405A9B"/>
    <w:rsid w:val="00405B5D"/>
    <w:rsid w:val="00406766"/>
    <w:rsid w:val="00411D77"/>
    <w:rsid w:val="00414CAA"/>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1B71"/>
    <w:rsid w:val="00453DE4"/>
    <w:rsid w:val="00454094"/>
    <w:rsid w:val="00455268"/>
    <w:rsid w:val="004574A0"/>
    <w:rsid w:val="00462A3D"/>
    <w:rsid w:val="00462A96"/>
    <w:rsid w:val="00465CBB"/>
    <w:rsid w:val="00466C9F"/>
    <w:rsid w:val="004701DB"/>
    <w:rsid w:val="00470611"/>
    <w:rsid w:val="00473A41"/>
    <w:rsid w:val="00473DB4"/>
    <w:rsid w:val="00476E9F"/>
    <w:rsid w:val="00480595"/>
    <w:rsid w:val="00481444"/>
    <w:rsid w:val="004827A1"/>
    <w:rsid w:val="00483D3D"/>
    <w:rsid w:val="00484FB3"/>
    <w:rsid w:val="00486162"/>
    <w:rsid w:val="00486CFA"/>
    <w:rsid w:val="0048777B"/>
    <w:rsid w:val="00487FD4"/>
    <w:rsid w:val="00493304"/>
    <w:rsid w:val="0049428C"/>
    <w:rsid w:val="00495ED9"/>
    <w:rsid w:val="00496002"/>
    <w:rsid w:val="00497C20"/>
    <w:rsid w:val="004A0C2C"/>
    <w:rsid w:val="004A14EE"/>
    <w:rsid w:val="004A1825"/>
    <w:rsid w:val="004A2B6F"/>
    <w:rsid w:val="004A6F5D"/>
    <w:rsid w:val="004A70F4"/>
    <w:rsid w:val="004B1E6E"/>
    <w:rsid w:val="004B2790"/>
    <w:rsid w:val="004B2BEC"/>
    <w:rsid w:val="004B3AB3"/>
    <w:rsid w:val="004B45AC"/>
    <w:rsid w:val="004B4BC5"/>
    <w:rsid w:val="004B54E0"/>
    <w:rsid w:val="004B556E"/>
    <w:rsid w:val="004B5EC4"/>
    <w:rsid w:val="004C026B"/>
    <w:rsid w:val="004C0971"/>
    <w:rsid w:val="004C1741"/>
    <w:rsid w:val="004C4C77"/>
    <w:rsid w:val="004C5068"/>
    <w:rsid w:val="004C5199"/>
    <w:rsid w:val="004D05BB"/>
    <w:rsid w:val="004D5432"/>
    <w:rsid w:val="004D5BC7"/>
    <w:rsid w:val="004D5CA6"/>
    <w:rsid w:val="004E106A"/>
    <w:rsid w:val="004E1A5C"/>
    <w:rsid w:val="004E4350"/>
    <w:rsid w:val="004E6665"/>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406C"/>
    <w:rsid w:val="00515EA5"/>
    <w:rsid w:val="00520FF5"/>
    <w:rsid w:val="005230DA"/>
    <w:rsid w:val="00525481"/>
    <w:rsid w:val="005254F0"/>
    <w:rsid w:val="005263C2"/>
    <w:rsid w:val="00526D07"/>
    <w:rsid w:val="00527E91"/>
    <w:rsid w:val="00531186"/>
    <w:rsid w:val="00533434"/>
    <w:rsid w:val="0053357E"/>
    <w:rsid w:val="00542E61"/>
    <w:rsid w:val="00545D91"/>
    <w:rsid w:val="00546892"/>
    <w:rsid w:val="00546AF4"/>
    <w:rsid w:val="00546DAE"/>
    <w:rsid w:val="00552542"/>
    <w:rsid w:val="00554552"/>
    <w:rsid w:val="00554A01"/>
    <w:rsid w:val="005665B8"/>
    <w:rsid w:val="00566652"/>
    <w:rsid w:val="005703F2"/>
    <w:rsid w:val="005705A0"/>
    <w:rsid w:val="0057062B"/>
    <w:rsid w:val="00570EE1"/>
    <w:rsid w:val="00571D2F"/>
    <w:rsid w:val="00572147"/>
    <w:rsid w:val="0057505C"/>
    <w:rsid w:val="005761C1"/>
    <w:rsid w:val="005807D3"/>
    <w:rsid w:val="0058206C"/>
    <w:rsid w:val="00585C42"/>
    <w:rsid w:val="00585CA8"/>
    <w:rsid w:val="00592246"/>
    <w:rsid w:val="005937AF"/>
    <w:rsid w:val="00594E78"/>
    <w:rsid w:val="005968FF"/>
    <w:rsid w:val="005A0750"/>
    <w:rsid w:val="005A328B"/>
    <w:rsid w:val="005A33E5"/>
    <w:rsid w:val="005A77D3"/>
    <w:rsid w:val="005B325C"/>
    <w:rsid w:val="005B3BAA"/>
    <w:rsid w:val="005B6E54"/>
    <w:rsid w:val="005B7C79"/>
    <w:rsid w:val="005C0E98"/>
    <w:rsid w:val="005C1F53"/>
    <w:rsid w:val="005C2C63"/>
    <w:rsid w:val="005C2E55"/>
    <w:rsid w:val="005D07FD"/>
    <w:rsid w:val="005D2683"/>
    <w:rsid w:val="005D7CF4"/>
    <w:rsid w:val="005E04B0"/>
    <w:rsid w:val="005E2B82"/>
    <w:rsid w:val="005E33FC"/>
    <w:rsid w:val="005E4D25"/>
    <w:rsid w:val="005F09A4"/>
    <w:rsid w:val="005F1713"/>
    <w:rsid w:val="005F3442"/>
    <w:rsid w:val="00602192"/>
    <w:rsid w:val="00603D12"/>
    <w:rsid w:val="00603F7C"/>
    <w:rsid w:val="00604E51"/>
    <w:rsid w:val="0060592A"/>
    <w:rsid w:val="00610384"/>
    <w:rsid w:val="00610E2E"/>
    <w:rsid w:val="00612F7D"/>
    <w:rsid w:val="00614E67"/>
    <w:rsid w:val="00616645"/>
    <w:rsid w:val="00621F78"/>
    <w:rsid w:val="0062358D"/>
    <w:rsid w:val="0062429B"/>
    <w:rsid w:val="0062496B"/>
    <w:rsid w:val="0063298D"/>
    <w:rsid w:val="0063622C"/>
    <w:rsid w:val="00636606"/>
    <w:rsid w:val="00636690"/>
    <w:rsid w:val="00640F4D"/>
    <w:rsid w:val="00643F6B"/>
    <w:rsid w:val="006449C2"/>
    <w:rsid w:val="00644FAD"/>
    <w:rsid w:val="00644FEE"/>
    <w:rsid w:val="00645D53"/>
    <w:rsid w:val="006461D5"/>
    <w:rsid w:val="00647278"/>
    <w:rsid w:val="00657E34"/>
    <w:rsid w:val="00660B8D"/>
    <w:rsid w:val="00660C73"/>
    <w:rsid w:val="00664711"/>
    <w:rsid w:val="0066504D"/>
    <w:rsid w:val="006652F4"/>
    <w:rsid w:val="006663B6"/>
    <w:rsid w:val="0067569A"/>
    <w:rsid w:val="00681E52"/>
    <w:rsid w:val="00682BA5"/>
    <w:rsid w:val="00682E79"/>
    <w:rsid w:val="006833AB"/>
    <w:rsid w:val="0068353A"/>
    <w:rsid w:val="00683A73"/>
    <w:rsid w:val="00685953"/>
    <w:rsid w:val="00690432"/>
    <w:rsid w:val="006932AD"/>
    <w:rsid w:val="00693955"/>
    <w:rsid w:val="006944F1"/>
    <w:rsid w:val="0069599C"/>
    <w:rsid w:val="00695E6D"/>
    <w:rsid w:val="006A080D"/>
    <w:rsid w:val="006A222A"/>
    <w:rsid w:val="006A37F9"/>
    <w:rsid w:val="006A3DAE"/>
    <w:rsid w:val="006A642F"/>
    <w:rsid w:val="006B05B6"/>
    <w:rsid w:val="006B0C6D"/>
    <w:rsid w:val="006B1B6E"/>
    <w:rsid w:val="006B2012"/>
    <w:rsid w:val="006B2CFF"/>
    <w:rsid w:val="006B41E9"/>
    <w:rsid w:val="006B555D"/>
    <w:rsid w:val="006B5FE1"/>
    <w:rsid w:val="006B76EC"/>
    <w:rsid w:val="006C3E63"/>
    <w:rsid w:val="006C48B0"/>
    <w:rsid w:val="006C60BE"/>
    <w:rsid w:val="006C79AC"/>
    <w:rsid w:val="006D303E"/>
    <w:rsid w:val="006D598D"/>
    <w:rsid w:val="006D5F55"/>
    <w:rsid w:val="006E4790"/>
    <w:rsid w:val="006E4F13"/>
    <w:rsid w:val="006E5556"/>
    <w:rsid w:val="006E588C"/>
    <w:rsid w:val="006E625D"/>
    <w:rsid w:val="006E716B"/>
    <w:rsid w:val="006E78DC"/>
    <w:rsid w:val="006F18CE"/>
    <w:rsid w:val="006F297D"/>
    <w:rsid w:val="006F451D"/>
    <w:rsid w:val="006F5A90"/>
    <w:rsid w:val="006F60F3"/>
    <w:rsid w:val="006F6E7E"/>
    <w:rsid w:val="006F799C"/>
    <w:rsid w:val="006F7C10"/>
    <w:rsid w:val="006F7D05"/>
    <w:rsid w:val="00700300"/>
    <w:rsid w:val="00700E20"/>
    <w:rsid w:val="00701A49"/>
    <w:rsid w:val="007036F5"/>
    <w:rsid w:val="0070495C"/>
    <w:rsid w:val="00704D83"/>
    <w:rsid w:val="007064FD"/>
    <w:rsid w:val="0070722A"/>
    <w:rsid w:val="00712386"/>
    <w:rsid w:val="00712A55"/>
    <w:rsid w:val="007170D2"/>
    <w:rsid w:val="00720980"/>
    <w:rsid w:val="00721601"/>
    <w:rsid w:val="0072275A"/>
    <w:rsid w:val="00736106"/>
    <w:rsid w:val="0074020C"/>
    <w:rsid w:val="007404F1"/>
    <w:rsid w:val="00740E3C"/>
    <w:rsid w:val="007422FA"/>
    <w:rsid w:val="00742496"/>
    <w:rsid w:val="00744D5F"/>
    <w:rsid w:val="00745246"/>
    <w:rsid w:val="007463A7"/>
    <w:rsid w:val="00750A32"/>
    <w:rsid w:val="00753C8C"/>
    <w:rsid w:val="007569CC"/>
    <w:rsid w:val="00757AF4"/>
    <w:rsid w:val="00760B66"/>
    <w:rsid w:val="00763C47"/>
    <w:rsid w:val="00764018"/>
    <w:rsid w:val="007642DF"/>
    <w:rsid w:val="007703E0"/>
    <w:rsid w:val="00770819"/>
    <w:rsid w:val="007708FC"/>
    <w:rsid w:val="007728B5"/>
    <w:rsid w:val="007732CA"/>
    <w:rsid w:val="00784CBD"/>
    <w:rsid w:val="00785081"/>
    <w:rsid w:val="0078515C"/>
    <w:rsid w:val="00785F27"/>
    <w:rsid w:val="00790BBF"/>
    <w:rsid w:val="007914F2"/>
    <w:rsid w:val="007918D1"/>
    <w:rsid w:val="00793BE2"/>
    <w:rsid w:val="00793FB8"/>
    <w:rsid w:val="007971EF"/>
    <w:rsid w:val="007977C2"/>
    <w:rsid w:val="00797DF6"/>
    <w:rsid w:val="007A1133"/>
    <w:rsid w:val="007A2423"/>
    <w:rsid w:val="007A49D0"/>
    <w:rsid w:val="007B0661"/>
    <w:rsid w:val="007B0818"/>
    <w:rsid w:val="007B12C1"/>
    <w:rsid w:val="007B14B5"/>
    <w:rsid w:val="007B4081"/>
    <w:rsid w:val="007B4CE6"/>
    <w:rsid w:val="007C0B11"/>
    <w:rsid w:val="007D37D7"/>
    <w:rsid w:val="007D3EE6"/>
    <w:rsid w:val="007D41F8"/>
    <w:rsid w:val="007D4977"/>
    <w:rsid w:val="007D4D45"/>
    <w:rsid w:val="007D4E40"/>
    <w:rsid w:val="007D5FE2"/>
    <w:rsid w:val="007D6014"/>
    <w:rsid w:val="007D6E72"/>
    <w:rsid w:val="007D760C"/>
    <w:rsid w:val="007E3259"/>
    <w:rsid w:val="007E34BC"/>
    <w:rsid w:val="007E36D5"/>
    <w:rsid w:val="007E4EFB"/>
    <w:rsid w:val="007E583C"/>
    <w:rsid w:val="007E69D6"/>
    <w:rsid w:val="007E7921"/>
    <w:rsid w:val="007E79C4"/>
    <w:rsid w:val="007F1077"/>
    <w:rsid w:val="007F235F"/>
    <w:rsid w:val="007F2DB3"/>
    <w:rsid w:val="007F351B"/>
    <w:rsid w:val="007F7265"/>
    <w:rsid w:val="007F750A"/>
    <w:rsid w:val="00801778"/>
    <w:rsid w:val="00804307"/>
    <w:rsid w:val="00811D7D"/>
    <w:rsid w:val="00815304"/>
    <w:rsid w:val="0082212E"/>
    <w:rsid w:val="00822D21"/>
    <w:rsid w:val="008237F4"/>
    <w:rsid w:val="0082672E"/>
    <w:rsid w:val="008321F5"/>
    <w:rsid w:val="00836E56"/>
    <w:rsid w:val="00837912"/>
    <w:rsid w:val="00837F36"/>
    <w:rsid w:val="0084027A"/>
    <w:rsid w:val="00842AD4"/>
    <w:rsid w:val="00842B2B"/>
    <w:rsid w:val="00842ED7"/>
    <w:rsid w:val="00843FAD"/>
    <w:rsid w:val="0084522D"/>
    <w:rsid w:val="00845F10"/>
    <w:rsid w:val="00854590"/>
    <w:rsid w:val="00856479"/>
    <w:rsid w:val="00856A66"/>
    <w:rsid w:val="00856A76"/>
    <w:rsid w:val="00857332"/>
    <w:rsid w:val="00857806"/>
    <w:rsid w:val="0086013B"/>
    <w:rsid w:val="008619CA"/>
    <w:rsid w:val="00861FBE"/>
    <w:rsid w:val="00862910"/>
    <w:rsid w:val="0086517D"/>
    <w:rsid w:val="008652E4"/>
    <w:rsid w:val="0087000A"/>
    <w:rsid w:val="00870D45"/>
    <w:rsid w:val="00870D7A"/>
    <w:rsid w:val="0087165E"/>
    <w:rsid w:val="0087206E"/>
    <w:rsid w:val="00872C2F"/>
    <w:rsid w:val="00873243"/>
    <w:rsid w:val="008734AE"/>
    <w:rsid w:val="00881F9F"/>
    <w:rsid w:val="00882173"/>
    <w:rsid w:val="008846A6"/>
    <w:rsid w:val="00885097"/>
    <w:rsid w:val="00886AE7"/>
    <w:rsid w:val="00893435"/>
    <w:rsid w:val="0089700B"/>
    <w:rsid w:val="00897E83"/>
    <w:rsid w:val="00897F84"/>
    <w:rsid w:val="008A19E1"/>
    <w:rsid w:val="008A2391"/>
    <w:rsid w:val="008A6431"/>
    <w:rsid w:val="008B054F"/>
    <w:rsid w:val="008B10CB"/>
    <w:rsid w:val="008B3050"/>
    <w:rsid w:val="008B4A5E"/>
    <w:rsid w:val="008B4C23"/>
    <w:rsid w:val="008B5FA0"/>
    <w:rsid w:val="008B7621"/>
    <w:rsid w:val="008C160C"/>
    <w:rsid w:val="008C1726"/>
    <w:rsid w:val="008C2B2B"/>
    <w:rsid w:val="008C3E22"/>
    <w:rsid w:val="008C5A45"/>
    <w:rsid w:val="008C676C"/>
    <w:rsid w:val="008C7D44"/>
    <w:rsid w:val="008D0A1A"/>
    <w:rsid w:val="008D23FA"/>
    <w:rsid w:val="008D321E"/>
    <w:rsid w:val="008D39F2"/>
    <w:rsid w:val="008D459E"/>
    <w:rsid w:val="008D5E5C"/>
    <w:rsid w:val="008D651B"/>
    <w:rsid w:val="008D6B7E"/>
    <w:rsid w:val="008D6F32"/>
    <w:rsid w:val="008E11ED"/>
    <w:rsid w:val="008E1F6D"/>
    <w:rsid w:val="008E1F84"/>
    <w:rsid w:val="008E2360"/>
    <w:rsid w:val="008E2F74"/>
    <w:rsid w:val="008E50C4"/>
    <w:rsid w:val="008F1718"/>
    <w:rsid w:val="008F2E54"/>
    <w:rsid w:val="008F309E"/>
    <w:rsid w:val="008F5D7B"/>
    <w:rsid w:val="00900509"/>
    <w:rsid w:val="00900B6E"/>
    <w:rsid w:val="009021FB"/>
    <w:rsid w:val="00902626"/>
    <w:rsid w:val="00903852"/>
    <w:rsid w:val="009071E5"/>
    <w:rsid w:val="009125AE"/>
    <w:rsid w:val="00917CD9"/>
    <w:rsid w:val="0092068B"/>
    <w:rsid w:val="00921579"/>
    <w:rsid w:val="0092255F"/>
    <w:rsid w:val="00923206"/>
    <w:rsid w:val="00923D46"/>
    <w:rsid w:val="0092564C"/>
    <w:rsid w:val="009260AA"/>
    <w:rsid w:val="00926AFD"/>
    <w:rsid w:val="00926F45"/>
    <w:rsid w:val="00930FD7"/>
    <w:rsid w:val="009320CE"/>
    <w:rsid w:val="00933AAD"/>
    <w:rsid w:val="00933BD1"/>
    <w:rsid w:val="00933FF4"/>
    <w:rsid w:val="00934522"/>
    <w:rsid w:val="00934ABD"/>
    <w:rsid w:val="00935495"/>
    <w:rsid w:val="009430C3"/>
    <w:rsid w:val="00943FA3"/>
    <w:rsid w:val="00945933"/>
    <w:rsid w:val="0094715E"/>
    <w:rsid w:val="009473B4"/>
    <w:rsid w:val="00950D88"/>
    <w:rsid w:val="00954264"/>
    <w:rsid w:val="00954E8E"/>
    <w:rsid w:val="00957795"/>
    <w:rsid w:val="00961695"/>
    <w:rsid w:val="00961AF2"/>
    <w:rsid w:val="0096311C"/>
    <w:rsid w:val="00965A49"/>
    <w:rsid w:val="00965DEE"/>
    <w:rsid w:val="00966291"/>
    <w:rsid w:val="00970AE2"/>
    <w:rsid w:val="00970C28"/>
    <w:rsid w:val="009731A6"/>
    <w:rsid w:val="00973FFE"/>
    <w:rsid w:val="00975312"/>
    <w:rsid w:val="00977098"/>
    <w:rsid w:val="00980CDE"/>
    <w:rsid w:val="00984767"/>
    <w:rsid w:val="00984866"/>
    <w:rsid w:val="009856AC"/>
    <w:rsid w:val="00986454"/>
    <w:rsid w:val="0098683D"/>
    <w:rsid w:val="00990FA4"/>
    <w:rsid w:val="00997868"/>
    <w:rsid w:val="009A2A52"/>
    <w:rsid w:val="009A406C"/>
    <w:rsid w:val="009A4393"/>
    <w:rsid w:val="009A51E6"/>
    <w:rsid w:val="009A5660"/>
    <w:rsid w:val="009A5894"/>
    <w:rsid w:val="009A7523"/>
    <w:rsid w:val="009B11DE"/>
    <w:rsid w:val="009B2B5A"/>
    <w:rsid w:val="009B5124"/>
    <w:rsid w:val="009B5B4B"/>
    <w:rsid w:val="009B5F0D"/>
    <w:rsid w:val="009C1851"/>
    <w:rsid w:val="009C1D4B"/>
    <w:rsid w:val="009C381B"/>
    <w:rsid w:val="009C449C"/>
    <w:rsid w:val="009C490F"/>
    <w:rsid w:val="009C54E9"/>
    <w:rsid w:val="009C62A1"/>
    <w:rsid w:val="009C7E54"/>
    <w:rsid w:val="009D20D8"/>
    <w:rsid w:val="009D27F1"/>
    <w:rsid w:val="009D34C4"/>
    <w:rsid w:val="009D7350"/>
    <w:rsid w:val="009E2E52"/>
    <w:rsid w:val="009E4730"/>
    <w:rsid w:val="009E5DF2"/>
    <w:rsid w:val="009E6021"/>
    <w:rsid w:val="009E6F8B"/>
    <w:rsid w:val="009E7653"/>
    <w:rsid w:val="009F1CC1"/>
    <w:rsid w:val="009F384A"/>
    <w:rsid w:val="009F4254"/>
    <w:rsid w:val="009F5438"/>
    <w:rsid w:val="009F672E"/>
    <w:rsid w:val="009F7686"/>
    <w:rsid w:val="00A00E4A"/>
    <w:rsid w:val="00A02A93"/>
    <w:rsid w:val="00A03099"/>
    <w:rsid w:val="00A037FA"/>
    <w:rsid w:val="00A0568A"/>
    <w:rsid w:val="00A110CD"/>
    <w:rsid w:val="00A12809"/>
    <w:rsid w:val="00A14200"/>
    <w:rsid w:val="00A14B3A"/>
    <w:rsid w:val="00A160C9"/>
    <w:rsid w:val="00A175DA"/>
    <w:rsid w:val="00A17E7F"/>
    <w:rsid w:val="00A21C38"/>
    <w:rsid w:val="00A21E9A"/>
    <w:rsid w:val="00A22E51"/>
    <w:rsid w:val="00A262CB"/>
    <w:rsid w:val="00A26487"/>
    <w:rsid w:val="00A269E5"/>
    <w:rsid w:val="00A30F57"/>
    <w:rsid w:val="00A33853"/>
    <w:rsid w:val="00A374C6"/>
    <w:rsid w:val="00A409DD"/>
    <w:rsid w:val="00A40D52"/>
    <w:rsid w:val="00A42A28"/>
    <w:rsid w:val="00A433C4"/>
    <w:rsid w:val="00A4522D"/>
    <w:rsid w:val="00A51DA0"/>
    <w:rsid w:val="00A52E04"/>
    <w:rsid w:val="00A5500D"/>
    <w:rsid w:val="00A60FFA"/>
    <w:rsid w:val="00A62CBB"/>
    <w:rsid w:val="00A62EB9"/>
    <w:rsid w:val="00A650DE"/>
    <w:rsid w:val="00A66862"/>
    <w:rsid w:val="00A70955"/>
    <w:rsid w:val="00A709FA"/>
    <w:rsid w:val="00A730AB"/>
    <w:rsid w:val="00A73496"/>
    <w:rsid w:val="00A7578D"/>
    <w:rsid w:val="00A76DBE"/>
    <w:rsid w:val="00A8140D"/>
    <w:rsid w:val="00A82C76"/>
    <w:rsid w:val="00A902DB"/>
    <w:rsid w:val="00A90332"/>
    <w:rsid w:val="00A91680"/>
    <w:rsid w:val="00A92A1B"/>
    <w:rsid w:val="00A9651C"/>
    <w:rsid w:val="00A96579"/>
    <w:rsid w:val="00AA22A5"/>
    <w:rsid w:val="00AA52C1"/>
    <w:rsid w:val="00AA6477"/>
    <w:rsid w:val="00AA68A6"/>
    <w:rsid w:val="00AB3785"/>
    <w:rsid w:val="00AB3F24"/>
    <w:rsid w:val="00AB5EFE"/>
    <w:rsid w:val="00AC1344"/>
    <w:rsid w:val="00AC221F"/>
    <w:rsid w:val="00AC2CBA"/>
    <w:rsid w:val="00AC3B80"/>
    <w:rsid w:val="00AC545C"/>
    <w:rsid w:val="00AD4757"/>
    <w:rsid w:val="00AD7010"/>
    <w:rsid w:val="00AD79F2"/>
    <w:rsid w:val="00AE3D3E"/>
    <w:rsid w:val="00AE5FA8"/>
    <w:rsid w:val="00AE641A"/>
    <w:rsid w:val="00AF0AA5"/>
    <w:rsid w:val="00AF12DE"/>
    <w:rsid w:val="00AF4843"/>
    <w:rsid w:val="00AF4DB4"/>
    <w:rsid w:val="00AF5353"/>
    <w:rsid w:val="00AF632A"/>
    <w:rsid w:val="00AF73F1"/>
    <w:rsid w:val="00B02141"/>
    <w:rsid w:val="00B03655"/>
    <w:rsid w:val="00B070E2"/>
    <w:rsid w:val="00B0790F"/>
    <w:rsid w:val="00B100BC"/>
    <w:rsid w:val="00B120D1"/>
    <w:rsid w:val="00B154E5"/>
    <w:rsid w:val="00B157A8"/>
    <w:rsid w:val="00B2091C"/>
    <w:rsid w:val="00B21B60"/>
    <w:rsid w:val="00B22146"/>
    <w:rsid w:val="00B25261"/>
    <w:rsid w:val="00B30449"/>
    <w:rsid w:val="00B31CC8"/>
    <w:rsid w:val="00B3424E"/>
    <w:rsid w:val="00B34C86"/>
    <w:rsid w:val="00B36D53"/>
    <w:rsid w:val="00B378CC"/>
    <w:rsid w:val="00B409D4"/>
    <w:rsid w:val="00B40B49"/>
    <w:rsid w:val="00B41504"/>
    <w:rsid w:val="00B42982"/>
    <w:rsid w:val="00B43854"/>
    <w:rsid w:val="00B461DC"/>
    <w:rsid w:val="00B50679"/>
    <w:rsid w:val="00B50E89"/>
    <w:rsid w:val="00B60001"/>
    <w:rsid w:val="00B60179"/>
    <w:rsid w:val="00B613AC"/>
    <w:rsid w:val="00B61FC0"/>
    <w:rsid w:val="00B63D0C"/>
    <w:rsid w:val="00B72CDC"/>
    <w:rsid w:val="00B73556"/>
    <w:rsid w:val="00B743B2"/>
    <w:rsid w:val="00B748AF"/>
    <w:rsid w:val="00B74FCC"/>
    <w:rsid w:val="00B750B0"/>
    <w:rsid w:val="00B759E2"/>
    <w:rsid w:val="00B775BB"/>
    <w:rsid w:val="00B777C7"/>
    <w:rsid w:val="00B8019D"/>
    <w:rsid w:val="00B812FF"/>
    <w:rsid w:val="00B814ED"/>
    <w:rsid w:val="00B8177B"/>
    <w:rsid w:val="00B8311D"/>
    <w:rsid w:val="00B839DB"/>
    <w:rsid w:val="00B84006"/>
    <w:rsid w:val="00B848DF"/>
    <w:rsid w:val="00B85809"/>
    <w:rsid w:val="00B87D8C"/>
    <w:rsid w:val="00B9150C"/>
    <w:rsid w:val="00B939D1"/>
    <w:rsid w:val="00B947CA"/>
    <w:rsid w:val="00B95D2D"/>
    <w:rsid w:val="00BA1B98"/>
    <w:rsid w:val="00BA1EFD"/>
    <w:rsid w:val="00BA30BA"/>
    <w:rsid w:val="00BA3132"/>
    <w:rsid w:val="00BA4843"/>
    <w:rsid w:val="00BA5718"/>
    <w:rsid w:val="00BB2AD1"/>
    <w:rsid w:val="00BB4FC7"/>
    <w:rsid w:val="00BB521D"/>
    <w:rsid w:val="00BB543A"/>
    <w:rsid w:val="00BB5D23"/>
    <w:rsid w:val="00BB718B"/>
    <w:rsid w:val="00BB7D45"/>
    <w:rsid w:val="00BD037D"/>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00A6"/>
    <w:rsid w:val="00BF3A36"/>
    <w:rsid w:val="00BF5DFC"/>
    <w:rsid w:val="00BF6447"/>
    <w:rsid w:val="00C00536"/>
    <w:rsid w:val="00C01044"/>
    <w:rsid w:val="00C015F7"/>
    <w:rsid w:val="00C018BA"/>
    <w:rsid w:val="00C03E85"/>
    <w:rsid w:val="00C07A20"/>
    <w:rsid w:val="00C10241"/>
    <w:rsid w:val="00C119C9"/>
    <w:rsid w:val="00C1206A"/>
    <w:rsid w:val="00C2225C"/>
    <w:rsid w:val="00C22493"/>
    <w:rsid w:val="00C23AAB"/>
    <w:rsid w:val="00C24720"/>
    <w:rsid w:val="00C25BD2"/>
    <w:rsid w:val="00C26A7A"/>
    <w:rsid w:val="00C30B21"/>
    <w:rsid w:val="00C327E3"/>
    <w:rsid w:val="00C34EBB"/>
    <w:rsid w:val="00C404FC"/>
    <w:rsid w:val="00C4091D"/>
    <w:rsid w:val="00C40B11"/>
    <w:rsid w:val="00C41AF8"/>
    <w:rsid w:val="00C44A4C"/>
    <w:rsid w:val="00C455BB"/>
    <w:rsid w:val="00C47381"/>
    <w:rsid w:val="00C57CDF"/>
    <w:rsid w:val="00C60941"/>
    <w:rsid w:val="00C60FDD"/>
    <w:rsid w:val="00C6595E"/>
    <w:rsid w:val="00C65AAA"/>
    <w:rsid w:val="00C71328"/>
    <w:rsid w:val="00C72139"/>
    <w:rsid w:val="00C72557"/>
    <w:rsid w:val="00C7258A"/>
    <w:rsid w:val="00C7311F"/>
    <w:rsid w:val="00C731FC"/>
    <w:rsid w:val="00C7343B"/>
    <w:rsid w:val="00C73729"/>
    <w:rsid w:val="00C7420E"/>
    <w:rsid w:val="00C74DB8"/>
    <w:rsid w:val="00C76F9F"/>
    <w:rsid w:val="00C77C72"/>
    <w:rsid w:val="00C82C91"/>
    <w:rsid w:val="00C8391D"/>
    <w:rsid w:val="00C85F9C"/>
    <w:rsid w:val="00C8756E"/>
    <w:rsid w:val="00C87A95"/>
    <w:rsid w:val="00C87C72"/>
    <w:rsid w:val="00C91DB5"/>
    <w:rsid w:val="00C92280"/>
    <w:rsid w:val="00C9716E"/>
    <w:rsid w:val="00CA080D"/>
    <w:rsid w:val="00CA3329"/>
    <w:rsid w:val="00CA3DE4"/>
    <w:rsid w:val="00CB033F"/>
    <w:rsid w:val="00CB108B"/>
    <w:rsid w:val="00CB15E2"/>
    <w:rsid w:val="00CB1ADA"/>
    <w:rsid w:val="00CB4401"/>
    <w:rsid w:val="00CC25D5"/>
    <w:rsid w:val="00CC2772"/>
    <w:rsid w:val="00CC2EBE"/>
    <w:rsid w:val="00CC4A4B"/>
    <w:rsid w:val="00CC5EAE"/>
    <w:rsid w:val="00CC647B"/>
    <w:rsid w:val="00CD1563"/>
    <w:rsid w:val="00CD21A6"/>
    <w:rsid w:val="00CD26E3"/>
    <w:rsid w:val="00CD3424"/>
    <w:rsid w:val="00CD434F"/>
    <w:rsid w:val="00CD6CF2"/>
    <w:rsid w:val="00CD7899"/>
    <w:rsid w:val="00CE1766"/>
    <w:rsid w:val="00CE1B5F"/>
    <w:rsid w:val="00CE21CF"/>
    <w:rsid w:val="00CE32C0"/>
    <w:rsid w:val="00CE516F"/>
    <w:rsid w:val="00CE52E5"/>
    <w:rsid w:val="00CE624D"/>
    <w:rsid w:val="00CF0EAD"/>
    <w:rsid w:val="00CF3869"/>
    <w:rsid w:val="00CF4320"/>
    <w:rsid w:val="00CF54DB"/>
    <w:rsid w:val="00CF5671"/>
    <w:rsid w:val="00D00F52"/>
    <w:rsid w:val="00D01A5C"/>
    <w:rsid w:val="00D01CB6"/>
    <w:rsid w:val="00D028B6"/>
    <w:rsid w:val="00D02C18"/>
    <w:rsid w:val="00D02E26"/>
    <w:rsid w:val="00D032AB"/>
    <w:rsid w:val="00D06066"/>
    <w:rsid w:val="00D070D0"/>
    <w:rsid w:val="00D10C10"/>
    <w:rsid w:val="00D17142"/>
    <w:rsid w:val="00D20230"/>
    <w:rsid w:val="00D20AF6"/>
    <w:rsid w:val="00D20CB0"/>
    <w:rsid w:val="00D21ED0"/>
    <w:rsid w:val="00D244DB"/>
    <w:rsid w:val="00D2675A"/>
    <w:rsid w:val="00D27E4E"/>
    <w:rsid w:val="00D35F11"/>
    <w:rsid w:val="00D36937"/>
    <w:rsid w:val="00D37A6A"/>
    <w:rsid w:val="00D40636"/>
    <w:rsid w:val="00D44A00"/>
    <w:rsid w:val="00D466EA"/>
    <w:rsid w:val="00D46E15"/>
    <w:rsid w:val="00D51A0C"/>
    <w:rsid w:val="00D521F7"/>
    <w:rsid w:val="00D52B02"/>
    <w:rsid w:val="00D52EC4"/>
    <w:rsid w:val="00D60948"/>
    <w:rsid w:val="00D62F72"/>
    <w:rsid w:val="00D6377E"/>
    <w:rsid w:val="00D64231"/>
    <w:rsid w:val="00D6438E"/>
    <w:rsid w:val="00D6508F"/>
    <w:rsid w:val="00D66146"/>
    <w:rsid w:val="00D70BB1"/>
    <w:rsid w:val="00D72323"/>
    <w:rsid w:val="00D72505"/>
    <w:rsid w:val="00D75223"/>
    <w:rsid w:val="00D75585"/>
    <w:rsid w:val="00D80A6D"/>
    <w:rsid w:val="00D8144F"/>
    <w:rsid w:val="00D815F3"/>
    <w:rsid w:val="00D876F1"/>
    <w:rsid w:val="00D93735"/>
    <w:rsid w:val="00D94014"/>
    <w:rsid w:val="00D94EDB"/>
    <w:rsid w:val="00D95BE3"/>
    <w:rsid w:val="00D95D0F"/>
    <w:rsid w:val="00D97610"/>
    <w:rsid w:val="00DA0390"/>
    <w:rsid w:val="00DA08C4"/>
    <w:rsid w:val="00DA0C20"/>
    <w:rsid w:val="00DA26AE"/>
    <w:rsid w:val="00DA3BD0"/>
    <w:rsid w:val="00DA4534"/>
    <w:rsid w:val="00DA5B5D"/>
    <w:rsid w:val="00DA7DE6"/>
    <w:rsid w:val="00DB0BC1"/>
    <w:rsid w:val="00DB131F"/>
    <w:rsid w:val="00DB1C29"/>
    <w:rsid w:val="00DB1E50"/>
    <w:rsid w:val="00DB2F26"/>
    <w:rsid w:val="00DB30F9"/>
    <w:rsid w:val="00DB615D"/>
    <w:rsid w:val="00DB65FC"/>
    <w:rsid w:val="00DB6C01"/>
    <w:rsid w:val="00DB73CE"/>
    <w:rsid w:val="00DC1FA4"/>
    <w:rsid w:val="00DC2467"/>
    <w:rsid w:val="00DC33AC"/>
    <w:rsid w:val="00DC454C"/>
    <w:rsid w:val="00DC5B3A"/>
    <w:rsid w:val="00DC6FED"/>
    <w:rsid w:val="00DD0BB7"/>
    <w:rsid w:val="00DD18CF"/>
    <w:rsid w:val="00DD27FF"/>
    <w:rsid w:val="00DD38F6"/>
    <w:rsid w:val="00DD3D50"/>
    <w:rsid w:val="00DD4BE7"/>
    <w:rsid w:val="00DD6088"/>
    <w:rsid w:val="00DD6B46"/>
    <w:rsid w:val="00DD7A01"/>
    <w:rsid w:val="00DE1383"/>
    <w:rsid w:val="00DE1772"/>
    <w:rsid w:val="00DE1B64"/>
    <w:rsid w:val="00DE1E21"/>
    <w:rsid w:val="00DE2A3F"/>
    <w:rsid w:val="00DE6207"/>
    <w:rsid w:val="00DE63B1"/>
    <w:rsid w:val="00DE6493"/>
    <w:rsid w:val="00DE6D89"/>
    <w:rsid w:val="00DF135A"/>
    <w:rsid w:val="00DF6B33"/>
    <w:rsid w:val="00E04D7B"/>
    <w:rsid w:val="00E06BAF"/>
    <w:rsid w:val="00E10AE3"/>
    <w:rsid w:val="00E136AD"/>
    <w:rsid w:val="00E138F0"/>
    <w:rsid w:val="00E17923"/>
    <w:rsid w:val="00E17D65"/>
    <w:rsid w:val="00E204A8"/>
    <w:rsid w:val="00E225AE"/>
    <w:rsid w:val="00E239E9"/>
    <w:rsid w:val="00E24229"/>
    <w:rsid w:val="00E25FA5"/>
    <w:rsid w:val="00E26691"/>
    <w:rsid w:val="00E275A8"/>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6F1B"/>
    <w:rsid w:val="00E470D8"/>
    <w:rsid w:val="00E47977"/>
    <w:rsid w:val="00E5326F"/>
    <w:rsid w:val="00E548C8"/>
    <w:rsid w:val="00E5503B"/>
    <w:rsid w:val="00E57BC1"/>
    <w:rsid w:val="00E62363"/>
    <w:rsid w:val="00E630F3"/>
    <w:rsid w:val="00E63140"/>
    <w:rsid w:val="00E64588"/>
    <w:rsid w:val="00E64DAB"/>
    <w:rsid w:val="00E724F1"/>
    <w:rsid w:val="00E72E97"/>
    <w:rsid w:val="00E76A65"/>
    <w:rsid w:val="00E84ECF"/>
    <w:rsid w:val="00E85D76"/>
    <w:rsid w:val="00E906E4"/>
    <w:rsid w:val="00E91A61"/>
    <w:rsid w:val="00E92B19"/>
    <w:rsid w:val="00E93F95"/>
    <w:rsid w:val="00E9748B"/>
    <w:rsid w:val="00E97623"/>
    <w:rsid w:val="00EA126E"/>
    <w:rsid w:val="00EA2C68"/>
    <w:rsid w:val="00EA2D31"/>
    <w:rsid w:val="00EA3EA9"/>
    <w:rsid w:val="00EA4B65"/>
    <w:rsid w:val="00EA5ACD"/>
    <w:rsid w:val="00EB0F9B"/>
    <w:rsid w:val="00EB4973"/>
    <w:rsid w:val="00EB78A6"/>
    <w:rsid w:val="00EB7ED1"/>
    <w:rsid w:val="00EC3908"/>
    <w:rsid w:val="00EC48D5"/>
    <w:rsid w:val="00EC59B2"/>
    <w:rsid w:val="00EC7786"/>
    <w:rsid w:val="00EC7D4C"/>
    <w:rsid w:val="00EC7D9B"/>
    <w:rsid w:val="00ED037C"/>
    <w:rsid w:val="00ED0FBD"/>
    <w:rsid w:val="00ED1308"/>
    <w:rsid w:val="00ED2130"/>
    <w:rsid w:val="00ED2C2F"/>
    <w:rsid w:val="00ED4E4C"/>
    <w:rsid w:val="00EE025F"/>
    <w:rsid w:val="00EE2288"/>
    <w:rsid w:val="00EE35D8"/>
    <w:rsid w:val="00EE3991"/>
    <w:rsid w:val="00EE47E3"/>
    <w:rsid w:val="00EE487B"/>
    <w:rsid w:val="00EE735B"/>
    <w:rsid w:val="00EF1C31"/>
    <w:rsid w:val="00EF34F6"/>
    <w:rsid w:val="00EF4376"/>
    <w:rsid w:val="00EF6A93"/>
    <w:rsid w:val="00EF6CBB"/>
    <w:rsid w:val="00EF746E"/>
    <w:rsid w:val="00EF791A"/>
    <w:rsid w:val="00F01396"/>
    <w:rsid w:val="00F01678"/>
    <w:rsid w:val="00F021C9"/>
    <w:rsid w:val="00F0290F"/>
    <w:rsid w:val="00F039CD"/>
    <w:rsid w:val="00F0771B"/>
    <w:rsid w:val="00F07878"/>
    <w:rsid w:val="00F07B00"/>
    <w:rsid w:val="00F07B5C"/>
    <w:rsid w:val="00F10481"/>
    <w:rsid w:val="00F13222"/>
    <w:rsid w:val="00F13262"/>
    <w:rsid w:val="00F16D8B"/>
    <w:rsid w:val="00F16DCB"/>
    <w:rsid w:val="00F206C1"/>
    <w:rsid w:val="00F219CC"/>
    <w:rsid w:val="00F2222D"/>
    <w:rsid w:val="00F22EBF"/>
    <w:rsid w:val="00F27D69"/>
    <w:rsid w:val="00F33758"/>
    <w:rsid w:val="00F3411F"/>
    <w:rsid w:val="00F344A1"/>
    <w:rsid w:val="00F35166"/>
    <w:rsid w:val="00F41A67"/>
    <w:rsid w:val="00F42D84"/>
    <w:rsid w:val="00F44383"/>
    <w:rsid w:val="00F447E8"/>
    <w:rsid w:val="00F4528A"/>
    <w:rsid w:val="00F45663"/>
    <w:rsid w:val="00F45A1E"/>
    <w:rsid w:val="00F5166B"/>
    <w:rsid w:val="00F51DF2"/>
    <w:rsid w:val="00F53746"/>
    <w:rsid w:val="00F53ED2"/>
    <w:rsid w:val="00F54A48"/>
    <w:rsid w:val="00F57E44"/>
    <w:rsid w:val="00F60E2B"/>
    <w:rsid w:val="00F621D8"/>
    <w:rsid w:val="00F63EFF"/>
    <w:rsid w:val="00F64E2E"/>
    <w:rsid w:val="00F65043"/>
    <w:rsid w:val="00F65940"/>
    <w:rsid w:val="00F65B90"/>
    <w:rsid w:val="00F7083F"/>
    <w:rsid w:val="00F70ADA"/>
    <w:rsid w:val="00F712AD"/>
    <w:rsid w:val="00F74CFD"/>
    <w:rsid w:val="00F77BB7"/>
    <w:rsid w:val="00F77E19"/>
    <w:rsid w:val="00F80037"/>
    <w:rsid w:val="00F84A4F"/>
    <w:rsid w:val="00F86834"/>
    <w:rsid w:val="00F90EAD"/>
    <w:rsid w:val="00F91071"/>
    <w:rsid w:val="00F94532"/>
    <w:rsid w:val="00F94710"/>
    <w:rsid w:val="00F94BAE"/>
    <w:rsid w:val="00F97E08"/>
    <w:rsid w:val="00FA1E93"/>
    <w:rsid w:val="00FA23ED"/>
    <w:rsid w:val="00FA4939"/>
    <w:rsid w:val="00FA6051"/>
    <w:rsid w:val="00FA7E6D"/>
    <w:rsid w:val="00FB1D8F"/>
    <w:rsid w:val="00FB60C9"/>
    <w:rsid w:val="00FB687F"/>
    <w:rsid w:val="00FB7631"/>
    <w:rsid w:val="00FC1FEC"/>
    <w:rsid w:val="00FC39F3"/>
    <w:rsid w:val="00FC6B42"/>
    <w:rsid w:val="00FD0B58"/>
    <w:rsid w:val="00FD324A"/>
    <w:rsid w:val="00FD5F17"/>
    <w:rsid w:val="00FE0A65"/>
    <w:rsid w:val="00FE418C"/>
    <w:rsid w:val="00FE4965"/>
    <w:rsid w:val="00FE59A4"/>
    <w:rsid w:val="00FE64A4"/>
    <w:rsid w:val="00FF0D99"/>
    <w:rsid w:val="00FF0FD2"/>
    <w:rsid w:val="00FF34C9"/>
    <w:rsid w:val="00FF3920"/>
    <w:rsid w:val="00FF41BD"/>
    <w:rsid w:val="00FF6CBD"/>
    <w:rsid w:val="00FF769B"/>
    <w:rsid w:val="012A2A15"/>
    <w:rsid w:val="08FF20F5"/>
    <w:rsid w:val="0A7245E5"/>
    <w:rsid w:val="0AC307BF"/>
    <w:rsid w:val="0B393998"/>
    <w:rsid w:val="15EB7B76"/>
    <w:rsid w:val="18990025"/>
    <w:rsid w:val="1C687561"/>
    <w:rsid w:val="222529F4"/>
    <w:rsid w:val="23BA077E"/>
    <w:rsid w:val="26C42B90"/>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979BE"/>
  <w15:docId w15:val="{D3B88234-0781-4815-8AF9-B03DC1F3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71DE5"/>
    <w:pPr>
      <w:widowControl w:val="0"/>
      <w:jc w:val="both"/>
    </w:pPr>
    <w:rPr>
      <w:rFonts w:ascii="Times New Roman" w:eastAsia="宋体" w:hAnsi="Times New Roman" w:cs="Times New Roman"/>
      <w:kern w:val="2"/>
      <w:sz w:val="21"/>
      <w:szCs w:val="24"/>
    </w:rPr>
  </w:style>
  <w:style w:type="paragraph" w:styleId="1">
    <w:name w:val="heading 1"/>
    <w:basedOn w:val="a4"/>
    <w:next w:val="a4"/>
    <w:link w:val="10"/>
    <w:uiPriority w:val="9"/>
    <w:qFormat/>
    <w:rsid w:val="00160F6C"/>
    <w:pPr>
      <w:keepNext/>
      <w:keepLines/>
      <w:spacing w:before="340" w:after="330" w:line="578" w:lineRule="auto"/>
      <w:outlineLvl w:val="0"/>
    </w:pPr>
    <w:rPr>
      <w:b/>
      <w:bCs/>
      <w:kern w:val="44"/>
      <w:sz w:val="44"/>
      <w:szCs w:val="44"/>
    </w:rPr>
  </w:style>
  <w:style w:type="paragraph" w:styleId="2">
    <w:name w:val="heading 2"/>
    <w:basedOn w:val="a4"/>
    <w:next w:val="a4"/>
    <w:link w:val="20"/>
    <w:uiPriority w:val="9"/>
    <w:semiHidden/>
    <w:unhideWhenUsed/>
    <w:qFormat/>
    <w:rsid w:val="00271DE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rsid w:val="00271DE5"/>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rsid w:val="00271DE5"/>
    <w:pPr>
      <w:jc w:val="left"/>
    </w:pPr>
    <w:rPr>
      <w:rFonts w:ascii="Calibri" w:hAnsi="Calibri" w:cs="Calibri"/>
      <w:szCs w:val="21"/>
    </w:rPr>
  </w:style>
  <w:style w:type="paragraph" w:styleId="aa">
    <w:name w:val="Plain Text"/>
    <w:basedOn w:val="a4"/>
    <w:link w:val="ab"/>
    <w:uiPriority w:val="99"/>
    <w:unhideWhenUsed/>
    <w:qFormat/>
    <w:rsid w:val="00271DE5"/>
    <w:rPr>
      <w:rFonts w:ascii="宋体" w:hAnsi="Courier New"/>
      <w:szCs w:val="21"/>
    </w:rPr>
  </w:style>
  <w:style w:type="paragraph" w:styleId="ac">
    <w:name w:val="Date"/>
    <w:basedOn w:val="a4"/>
    <w:next w:val="a4"/>
    <w:link w:val="ad"/>
    <w:uiPriority w:val="99"/>
    <w:semiHidden/>
    <w:unhideWhenUsed/>
    <w:rsid w:val="00271DE5"/>
    <w:pPr>
      <w:ind w:leftChars="2500" w:left="100"/>
    </w:pPr>
  </w:style>
  <w:style w:type="paragraph" w:styleId="ae">
    <w:name w:val="Balloon Text"/>
    <w:basedOn w:val="a4"/>
    <w:link w:val="af"/>
    <w:uiPriority w:val="99"/>
    <w:semiHidden/>
    <w:unhideWhenUsed/>
    <w:qFormat/>
    <w:rsid w:val="00271DE5"/>
    <w:rPr>
      <w:sz w:val="18"/>
      <w:szCs w:val="18"/>
    </w:rPr>
  </w:style>
  <w:style w:type="paragraph" w:styleId="af0">
    <w:name w:val="footer"/>
    <w:basedOn w:val="a4"/>
    <w:link w:val="af1"/>
    <w:uiPriority w:val="99"/>
    <w:unhideWhenUsed/>
    <w:qFormat/>
    <w:rsid w:val="00271DE5"/>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rsid w:val="00271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sid w:val="00271DE5"/>
    <w:rPr>
      <w:rFonts w:ascii="Times New Roman" w:hAnsi="Times New Roman" w:cs="Times New Roman"/>
      <w:b/>
      <w:bCs/>
      <w:szCs w:val="24"/>
    </w:rPr>
  </w:style>
  <w:style w:type="table" w:styleId="af6">
    <w:name w:val="Table Grid"/>
    <w:basedOn w:val="a6"/>
    <w:uiPriority w:val="39"/>
    <w:qFormat/>
    <w:rsid w:val="00271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5"/>
    <w:uiPriority w:val="99"/>
    <w:semiHidden/>
    <w:unhideWhenUsed/>
    <w:rsid w:val="00271DE5"/>
  </w:style>
  <w:style w:type="character" w:styleId="af8">
    <w:name w:val="annotation reference"/>
    <w:basedOn w:val="a5"/>
    <w:uiPriority w:val="99"/>
    <w:semiHidden/>
    <w:unhideWhenUsed/>
    <w:qFormat/>
    <w:rsid w:val="00271DE5"/>
    <w:rPr>
      <w:sz w:val="21"/>
      <w:szCs w:val="21"/>
    </w:rPr>
  </w:style>
  <w:style w:type="character" w:customStyle="1" w:styleId="af3">
    <w:name w:val="页眉 字符"/>
    <w:basedOn w:val="a5"/>
    <w:link w:val="af2"/>
    <w:uiPriority w:val="99"/>
    <w:qFormat/>
    <w:rsid w:val="00271DE5"/>
    <w:rPr>
      <w:sz w:val="18"/>
      <w:szCs w:val="18"/>
    </w:rPr>
  </w:style>
  <w:style w:type="character" w:customStyle="1" w:styleId="af1">
    <w:name w:val="页脚 字符"/>
    <w:basedOn w:val="a5"/>
    <w:link w:val="af0"/>
    <w:uiPriority w:val="99"/>
    <w:qFormat/>
    <w:rsid w:val="00271DE5"/>
    <w:rPr>
      <w:sz w:val="18"/>
      <w:szCs w:val="18"/>
    </w:rPr>
  </w:style>
  <w:style w:type="paragraph" w:styleId="af9">
    <w:name w:val="List Paragraph"/>
    <w:basedOn w:val="a4"/>
    <w:uiPriority w:val="34"/>
    <w:qFormat/>
    <w:rsid w:val="00271DE5"/>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sid w:val="00271DE5"/>
    <w:rPr>
      <w:rFonts w:ascii="Times New Roman" w:eastAsia="宋体" w:hAnsi="Times New Roman" w:cs="Times New Roman"/>
      <w:sz w:val="18"/>
      <w:szCs w:val="18"/>
    </w:rPr>
  </w:style>
  <w:style w:type="character" w:customStyle="1" w:styleId="30">
    <w:name w:val="标题 3 字符"/>
    <w:basedOn w:val="a5"/>
    <w:link w:val="3"/>
    <w:uiPriority w:val="9"/>
    <w:semiHidden/>
    <w:qFormat/>
    <w:rsid w:val="00271DE5"/>
    <w:rPr>
      <w:rFonts w:ascii="Calibri" w:eastAsia="宋体" w:hAnsi="Calibri" w:cs="Calibri"/>
      <w:b/>
      <w:bCs/>
      <w:sz w:val="32"/>
      <w:szCs w:val="32"/>
    </w:rPr>
  </w:style>
  <w:style w:type="character" w:customStyle="1" w:styleId="a9">
    <w:name w:val="批注文字 字符"/>
    <w:basedOn w:val="a5"/>
    <w:link w:val="a8"/>
    <w:uiPriority w:val="99"/>
    <w:semiHidden/>
    <w:qFormat/>
    <w:rsid w:val="00271DE5"/>
    <w:rPr>
      <w:rFonts w:ascii="Calibri" w:eastAsia="宋体" w:hAnsi="Calibri" w:cs="Calibri"/>
      <w:szCs w:val="21"/>
    </w:rPr>
  </w:style>
  <w:style w:type="paragraph" w:customStyle="1" w:styleId="Default">
    <w:name w:val="Default"/>
    <w:qFormat/>
    <w:rsid w:val="00271DE5"/>
    <w:pPr>
      <w:widowControl w:val="0"/>
      <w:autoSpaceDE w:val="0"/>
      <w:autoSpaceDN w:val="0"/>
      <w:adjustRightInd w:val="0"/>
    </w:pPr>
    <w:rPr>
      <w:rFonts w:ascii="黑体" w:eastAsia="黑体" w:hAnsi="Times New Roman" w:cs="黑体"/>
      <w:color w:val="000000"/>
      <w:sz w:val="24"/>
      <w:szCs w:val="24"/>
    </w:rPr>
  </w:style>
  <w:style w:type="character" w:customStyle="1" w:styleId="20">
    <w:name w:val="标题 2 字符"/>
    <w:basedOn w:val="a5"/>
    <w:link w:val="2"/>
    <w:uiPriority w:val="9"/>
    <w:semiHidden/>
    <w:qFormat/>
    <w:rsid w:val="00271DE5"/>
    <w:rPr>
      <w:rFonts w:asciiTheme="majorHAnsi" w:eastAsiaTheme="majorEastAsia" w:hAnsiTheme="majorHAnsi" w:cstheme="majorBidi"/>
      <w:b/>
      <w:bCs/>
      <w:sz w:val="32"/>
      <w:szCs w:val="32"/>
    </w:rPr>
  </w:style>
  <w:style w:type="paragraph" w:customStyle="1" w:styleId="a0">
    <w:name w:val="一级条标题"/>
    <w:next w:val="a4"/>
    <w:qFormat/>
    <w:rsid w:val="00271DE5"/>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rsid w:val="00271DE5"/>
    <w:pPr>
      <w:numPr>
        <w:numId w:val="1"/>
      </w:numPr>
      <w:spacing w:beforeLines="100" w:afterLines="100"/>
      <w:ind w:left="0"/>
      <w:jc w:val="both"/>
      <w:outlineLvl w:val="1"/>
    </w:pPr>
    <w:rPr>
      <w:rFonts w:ascii="黑体" w:eastAsia="黑体" w:hAnsi="Times New Roman" w:cs="Times New Roman"/>
      <w:sz w:val="21"/>
    </w:rPr>
  </w:style>
  <w:style w:type="paragraph" w:customStyle="1" w:styleId="a1">
    <w:name w:val="二级条标题"/>
    <w:basedOn w:val="a0"/>
    <w:next w:val="a4"/>
    <w:qFormat/>
    <w:rsid w:val="00271DE5"/>
    <w:pPr>
      <w:numPr>
        <w:ilvl w:val="2"/>
      </w:numPr>
      <w:spacing w:before="50" w:after="50"/>
      <w:outlineLvl w:val="3"/>
    </w:pPr>
  </w:style>
  <w:style w:type="paragraph" w:customStyle="1" w:styleId="a2">
    <w:name w:val="四级条标题"/>
    <w:basedOn w:val="a4"/>
    <w:next w:val="a4"/>
    <w:qFormat/>
    <w:rsid w:val="00271DE5"/>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rsid w:val="00271DE5"/>
    <w:pPr>
      <w:numPr>
        <w:ilvl w:val="5"/>
      </w:numPr>
      <w:outlineLvl w:val="6"/>
    </w:pPr>
  </w:style>
  <w:style w:type="paragraph" w:customStyle="1" w:styleId="11">
    <w:name w:val="列出段落1"/>
    <w:basedOn w:val="a4"/>
    <w:uiPriority w:val="34"/>
    <w:qFormat/>
    <w:rsid w:val="00271DE5"/>
    <w:pPr>
      <w:ind w:firstLineChars="200" w:firstLine="420"/>
    </w:pPr>
    <w:rPr>
      <w:szCs w:val="20"/>
    </w:rPr>
  </w:style>
  <w:style w:type="character" w:customStyle="1" w:styleId="af5">
    <w:name w:val="批注主题 字符"/>
    <w:basedOn w:val="a9"/>
    <w:link w:val="af4"/>
    <w:uiPriority w:val="99"/>
    <w:semiHidden/>
    <w:qFormat/>
    <w:rsid w:val="00271DE5"/>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sid w:val="00271DE5"/>
    <w:rPr>
      <w:rFonts w:ascii="宋体" w:eastAsia="宋体" w:hAnsi="Courier New" w:cs="Times New Roman"/>
      <w:kern w:val="2"/>
      <w:sz w:val="21"/>
      <w:szCs w:val="21"/>
    </w:rPr>
  </w:style>
  <w:style w:type="paragraph" w:customStyle="1" w:styleId="12">
    <w:name w:val="修订1"/>
    <w:hidden/>
    <w:uiPriority w:val="99"/>
    <w:semiHidden/>
    <w:rsid w:val="00271DE5"/>
    <w:rPr>
      <w:rFonts w:ascii="Times New Roman" w:eastAsia="宋体" w:hAnsi="Times New Roman" w:cs="Times New Roman"/>
      <w:kern w:val="2"/>
      <w:sz w:val="21"/>
      <w:szCs w:val="24"/>
    </w:rPr>
  </w:style>
  <w:style w:type="character" w:customStyle="1" w:styleId="ad">
    <w:name w:val="日期 字符"/>
    <w:basedOn w:val="a5"/>
    <w:link w:val="ac"/>
    <w:uiPriority w:val="99"/>
    <w:semiHidden/>
    <w:rsid w:val="00271DE5"/>
    <w:rPr>
      <w:rFonts w:ascii="Times New Roman" w:eastAsia="宋体" w:hAnsi="Times New Roman" w:cs="Times New Roman"/>
      <w:kern w:val="2"/>
      <w:sz w:val="21"/>
      <w:szCs w:val="24"/>
    </w:rPr>
  </w:style>
  <w:style w:type="paragraph" w:styleId="21">
    <w:name w:val="toc 2"/>
    <w:basedOn w:val="a4"/>
    <w:next w:val="a4"/>
    <w:autoRedefine/>
    <w:uiPriority w:val="39"/>
    <w:unhideWhenUsed/>
    <w:qFormat/>
    <w:rsid w:val="00160F6C"/>
    <w:pPr>
      <w:ind w:leftChars="200" w:left="420"/>
    </w:pPr>
  </w:style>
  <w:style w:type="character" w:styleId="afa">
    <w:name w:val="Hyperlink"/>
    <w:basedOn w:val="a5"/>
    <w:uiPriority w:val="99"/>
    <w:unhideWhenUsed/>
    <w:rsid w:val="00160F6C"/>
    <w:rPr>
      <w:color w:val="0563C1" w:themeColor="hyperlink"/>
      <w:u w:val="single"/>
    </w:rPr>
  </w:style>
  <w:style w:type="character" w:customStyle="1" w:styleId="10">
    <w:name w:val="标题 1 字符"/>
    <w:basedOn w:val="a5"/>
    <w:link w:val="1"/>
    <w:uiPriority w:val="9"/>
    <w:rsid w:val="00160F6C"/>
    <w:rPr>
      <w:rFonts w:ascii="Times New Roman" w:eastAsia="宋体" w:hAnsi="Times New Roman" w:cs="Times New Roman"/>
      <w:b/>
      <w:bCs/>
      <w:kern w:val="44"/>
      <w:sz w:val="44"/>
      <w:szCs w:val="44"/>
    </w:rPr>
  </w:style>
  <w:style w:type="paragraph" w:styleId="TOC">
    <w:name w:val="TOC Heading"/>
    <w:basedOn w:val="1"/>
    <w:next w:val="a4"/>
    <w:uiPriority w:val="39"/>
    <w:semiHidden/>
    <w:unhideWhenUsed/>
    <w:qFormat/>
    <w:rsid w:val="00160F6C"/>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3">
    <w:name w:val="toc 1"/>
    <w:basedOn w:val="a4"/>
    <w:next w:val="a4"/>
    <w:autoRedefine/>
    <w:uiPriority w:val="39"/>
    <w:semiHidden/>
    <w:unhideWhenUsed/>
    <w:qFormat/>
    <w:rsid w:val="00160F6C"/>
    <w:pPr>
      <w:widowControl/>
      <w:spacing w:after="100" w:line="276" w:lineRule="auto"/>
      <w:jc w:val="left"/>
    </w:pPr>
    <w:rPr>
      <w:rFonts w:asciiTheme="minorHAnsi" w:eastAsiaTheme="minorEastAsia" w:hAnsiTheme="minorHAnsi" w:cstheme="minorBidi"/>
      <w:kern w:val="0"/>
      <w:sz w:val="22"/>
      <w:szCs w:val="22"/>
    </w:rPr>
  </w:style>
  <w:style w:type="paragraph" w:styleId="31">
    <w:name w:val="toc 3"/>
    <w:basedOn w:val="a4"/>
    <w:next w:val="a4"/>
    <w:autoRedefine/>
    <w:uiPriority w:val="39"/>
    <w:semiHidden/>
    <w:unhideWhenUsed/>
    <w:qFormat/>
    <w:rsid w:val="00160F6C"/>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6945">
      <w:bodyDiv w:val="1"/>
      <w:marLeft w:val="0"/>
      <w:marRight w:val="0"/>
      <w:marTop w:val="0"/>
      <w:marBottom w:val="0"/>
      <w:divBdr>
        <w:top w:val="none" w:sz="0" w:space="0" w:color="auto"/>
        <w:left w:val="none" w:sz="0" w:space="0" w:color="auto"/>
        <w:bottom w:val="none" w:sz="0" w:space="0" w:color="auto"/>
        <w:right w:val="none" w:sz="0" w:space="0" w:color="auto"/>
      </w:divBdr>
    </w:div>
    <w:div w:id="1137188172">
      <w:bodyDiv w:val="1"/>
      <w:marLeft w:val="0"/>
      <w:marRight w:val="0"/>
      <w:marTop w:val="0"/>
      <w:marBottom w:val="0"/>
      <w:divBdr>
        <w:top w:val="none" w:sz="0" w:space="0" w:color="auto"/>
        <w:left w:val="none" w:sz="0" w:space="0" w:color="auto"/>
        <w:bottom w:val="none" w:sz="0" w:space="0" w:color="auto"/>
        <w:right w:val="none" w:sz="0" w:space="0" w:color="auto"/>
      </w:divBdr>
      <w:divsChild>
        <w:div w:id="402799261">
          <w:marLeft w:val="0"/>
          <w:marRight w:val="0"/>
          <w:marTop w:val="0"/>
          <w:marBottom w:val="0"/>
          <w:divBdr>
            <w:top w:val="none" w:sz="0" w:space="0" w:color="auto"/>
            <w:left w:val="none" w:sz="0" w:space="0" w:color="auto"/>
            <w:bottom w:val="none" w:sz="0" w:space="0" w:color="auto"/>
            <w:right w:val="none" w:sz="0" w:space="0" w:color="auto"/>
          </w:divBdr>
        </w:div>
      </w:divsChild>
    </w:div>
    <w:div w:id="1939216724">
      <w:bodyDiv w:val="1"/>
      <w:marLeft w:val="0"/>
      <w:marRight w:val="0"/>
      <w:marTop w:val="0"/>
      <w:marBottom w:val="0"/>
      <w:divBdr>
        <w:top w:val="none" w:sz="0" w:space="0" w:color="auto"/>
        <w:left w:val="none" w:sz="0" w:space="0" w:color="auto"/>
        <w:bottom w:val="none" w:sz="0" w:space="0" w:color="auto"/>
        <w:right w:val="none" w:sz="0" w:space="0" w:color="auto"/>
      </w:divBdr>
      <w:divsChild>
        <w:div w:id="2117019924">
          <w:marLeft w:val="0"/>
          <w:marRight w:val="0"/>
          <w:marTop w:val="0"/>
          <w:marBottom w:val="0"/>
          <w:divBdr>
            <w:top w:val="none" w:sz="0" w:space="0" w:color="auto"/>
            <w:left w:val="none" w:sz="0" w:space="0" w:color="auto"/>
            <w:bottom w:val="none" w:sz="0" w:space="0" w:color="auto"/>
            <w:right w:val="none" w:sz="0" w:space="0" w:color="auto"/>
          </w:divBdr>
        </w:div>
      </w:divsChild>
    </w:div>
    <w:div w:id="214711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9E7FF-699D-4EE9-AEA5-A9AE4FDA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1598</Words>
  <Characters>9112</Characters>
  <Application>Microsoft Office Word</Application>
  <DocSecurity>0</DocSecurity>
  <Lines>75</Lines>
  <Paragraphs>21</Paragraphs>
  <ScaleCrop>false</ScaleCrop>
  <Company>神州网信技术有限公司</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办公室发文</cp:lastModifiedBy>
  <cp:revision>7</cp:revision>
  <cp:lastPrinted>2022-11-29T13:07:00Z</cp:lastPrinted>
  <dcterms:created xsi:type="dcterms:W3CDTF">2025-02-05T02:51:00Z</dcterms:created>
  <dcterms:modified xsi:type="dcterms:W3CDTF">2025-04-14T08:26:00Z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