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8B0" w:rsidRPr="00E22FA3" w:rsidRDefault="00F448B0" w:rsidP="00E22FA3">
      <w:pPr>
        <w:spacing w:line="600" w:lineRule="exact"/>
        <w:ind w:rightChars="-32" w:right="-67"/>
        <w:rPr>
          <w:rFonts w:eastAsia="黑体"/>
          <w:color w:val="000000"/>
          <w:sz w:val="32"/>
          <w:szCs w:val="32"/>
        </w:rPr>
      </w:pPr>
      <w:r w:rsidRPr="00E22FA3">
        <w:rPr>
          <w:rFonts w:eastAsia="黑体"/>
          <w:color w:val="000000"/>
          <w:sz w:val="32"/>
          <w:szCs w:val="32"/>
        </w:rPr>
        <w:t>附件</w:t>
      </w:r>
    </w:p>
    <w:p w:rsidR="00E22FA3" w:rsidRPr="00E22FA3" w:rsidRDefault="00E22FA3" w:rsidP="00E22FA3">
      <w:pPr>
        <w:spacing w:line="600" w:lineRule="exact"/>
        <w:ind w:rightChars="-32" w:right="-67"/>
        <w:rPr>
          <w:rFonts w:eastAsia="黑体"/>
          <w:color w:val="000000"/>
          <w:sz w:val="32"/>
          <w:szCs w:val="32"/>
        </w:rPr>
      </w:pPr>
    </w:p>
    <w:p w:rsidR="00F448B0" w:rsidRPr="00E22FA3" w:rsidRDefault="00F448B0" w:rsidP="00E22FA3">
      <w:pPr>
        <w:adjustRightInd w:val="0"/>
        <w:snapToGrid w:val="0"/>
        <w:spacing w:line="600" w:lineRule="exact"/>
        <w:jc w:val="center"/>
        <w:rPr>
          <w:rFonts w:eastAsia="方正小标宋简体"/>
          <w:sz w:val="44"/>
          <w:szCs w:val="44"/>
        </w:rPr>
      </w:pPr>
      <w:r w:rsidRPr="00E22FA3">
        <w:rPr>
          <w:rFonts w:eastAsia="方正小标宋简体"/>
          <w:sz w:val="44"/>
          <w:szCs w:val="44"/>
        </w:rPr>
        <w:t>脱细胞基质软组织创面修复材料产品</w:t>
      </w:r>
    </w:p>
    <w:p w:rsidR="00F448B0" w:rsidRPr="00E22FA3" w:rsidRDefault="00F448B0" w:rsidP="00E22FA3">
      <w:pPr>
        <w:adjustRightInd w:val="0"/>
        <w:snapToGrid w:val="0"/>
        <w:spacing w:line="600" w:lineRule="exact"/>
        <w:jc w:val="center"/>
        <w:rPr>
          <w:rFonts w:eastAsia="仿宋_GB2312"/>
          <w:color w:val="000000"/>
          <w:sz w:val="32"/>
          <w:szCs w:val="32"/>
        </w:rPr>
      </w:pPr>
      <w:r w:rsidRPr="00E22FA3">
        <w:rPr>
          <w:rFonts w:eastAsia="方正小标宋简体"/>
          <w:sz w:val="44"/>
          <w:szCs w:val="44"/>
        </w:rPr>
        <w:t>注册审查指导原则</w:t>
      </w:r>
    </w:p>
    <w:p w:rsidR="00F448B0" w:rsidRPr="00E22FA3" w:rsidRDefault="00F448B0" w:rsidP="00E22FA3">
      <w:pPr>
        <w:spacing w:line="600" w:lineRule="exact"/>
        <w:rPr>
          <w:rFonts w:eastAsia="仿宋_GB2312"/>
          <w:color w:val="000000"/>
          <w:sz w:val="32"/>
          <w:szCs w:val="32"/>
        </w:rPr>
      </w:pP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本指导原则旨在指导注册申请人（以下简称申请人）对脱细胞基质软组织创面修复材料产品注册申报资料的准备及撰写，同时也为技术审评部门提供参考。</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本指导原则系对脱细胞基质软组织创面修复材料产品注册申报资料的一般要求。申请人应依据产品的具体特性确定其中内容是否适用，若不适用，需具体阐述理由及相应的科学依据，并依据产品的具体特性对注册申报资料的内容进行充实和细化。</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本指导原则是供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本指导原则是在现行法规和标准体系以及当前认知水平下制订，随着法规和标准的不断完善，科学技术的不断发展，本指导原则相关内容也将适时进行调整。</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黑体"/>
          <w:bCs/>
          <w:kern w:val="44"/>
          <w:sz w:val="32"/>
          <w:szCs w:val="44"/>
        </w:rPr>
        <w:t>一、适用范围</w:t>
      </w:r>
    </w:p>
    <w:p w:rsidR="00F448B0" w:rsidRPr="00E22FA3" w:rsidRDefault="00F448B0" w:rsidP="006370A5">
      <w:pPr>
        <w:pStyle w:val="a7"/>
        <w:shd w:val="clear" w:color="auto" w:fill="FFFFFF"/>
        <w:spacing w:before="0" w:beforeAutospacing="0" w:after="0" w:afterAutospacing="0" w:line="520" w:lineRule="exact"/>
        <w:ind w:firstLineChars="200" w:firstLine="640"/>
        <w:jc w:val="both"/>
        <w:rPr>
          <w:rFonts w:ascii="Times New Roman" w:eastAsia="仿宋_GB2312" w:hAnsi="Times New Roman" w:cs="Times New Roman"/>
          <w:color w:val="000000"/>
          <w:sz w:val="32"/>
          <w:szCs w:val="32"/>
        </w:rPr>
      </w:pPr>
      <w:r w:rsidRPr="00E22FA3">
        <w:rPr>
          <w:rFonts w:ascii="Times New Roman" w:eastAsia="仿宋_GB2312" w:hAnsi="Times New Roman" w:cs="Times New Roman"/>
          <w:color w:val="000000"/>
          <w:sz w:val="32"/>
          <w:szCs w:val="32"/>
        </w:rPr>
        <w:t>本指导原则适用于动物来源的脱细胞基质材料制成的、借助手术方式替代人体皮肤表面或眼表面、并且在手术过程结束后留在人体内</w:t>
      </w:r>
      <w:r w:rsidRPr="00E22FA3">
        <w:rPr>
          <w:rFonts w:ascii="Times New Roman" w:eastAsia="仿宋_GB2312" w:hAnsi="Times New Roman" w:cs="Times New Roman"/>
          <w:color w:val="000000"/>
          <w:sz w:val="32"/>
          <w:szCs w:val="32"/>
        </w:rPr>
        <w:t>30</w:t>
      </w:r>
      <w:r w:rsidRPr="00E22FA3">
        <w:rPr>
          <w:rFonts w:ascii="Times New Roman" w:eastAsia="仿宋_GB2312" w:hAnsi="Times New Roman" w:cs="Times New Roman"/>
          <w:color w:val="000000"/>
          <w:sz w:val="32"/>
          <w:szCs w:val="32"/>
        </w:rPr>
        <w:t>日（含）以上或被人体吸收的创面修复医疗器械产品。</w:t>
      </w:r>
    </w:p>
    <w:p w:rsidR="00F448B0" w:rsidRPr="00E22FA3" w:rsidRDefault="00F448B0" w:rsidP="006370A5">
      <w:pPr>
        <w:pStyle w:val="a7"/>
        <w:shd w:val="clear" w:color="auto" w:fill="FFFFFF"/>
        <w:spacing w:before="0" w:beforeAutospacing="0" w:after="0" w:afterAutospacing="0" w:line="520" w:lineRule="exact"/>
        <w:ind w:firstLineChars="200" w:firstLine="640"/>
        <w:jc w:val="both"/>
        <w:rPr>
          <w:rFonts w:ascii="Times New Roman" w:eastAsia="仿宋_GB2312" w:hAnsi="Times New Roman" w:cs="Times New Roman"/>
          <w:color w:val="000000"/>
          <w:sz w:val="32"/>
          <w:szCs w:val="32"/>
        </w:rPr>
      </w:pPr>
      <w:r w:rsidRPr="00E22FA3">
        <w:rPr>
          <w:rFonts w:ascii="Times New Roman" w:eastAsia="仿宋_GB2312" w:hAnsi="Times New Roman" w:cs="Times New Roman"/>
          <w:color w:val="000000"/>
          <w:sz w:val="32"/>
          <w:szCs w:val="32"/>
        </w:rPr>
        <w:t>本指导原则中涉及的脱细胞基质材料，不含活细胞，保留了原细胞外基质的主要成分及结构，形态是固态的膜或片状，可包含引流孔。根据《医疗器械分类目录》，其中用于皮肤缺损创面修复的产品分类编码包括</w:t>
      </w:r>
      <w:r w:rsidRPr="00E22FA3">
        <w:rPr>
          <w:rFonts w:ascii="Times New Roman" w:eastAsia="仿宋_GB2312" w:hAnsi="Times New Roman" w:cs="Times New Roman"/>
          <w:color w:val="000000"/>
          <w:sz w:val="32"/>
          <w:szCs w:val="32"/>
        </w:rPr>
        <w:t>13-10-01</w:t>
      </w:r>
      <w:r w:rsidRPr="00E22FA3">
        <w:rPr>
          <w:rFonts w:ascii="Times New Roman" w:eastAsia="仿宋_GB2312" w:hAnsi="Times New Roman" w:cs="Times New Roman"/>
          <w:color w:val="000000"/>
          <w:sz w:val="32"/>
          <w:szCs w:val="32"/>
        </w:rPr>
        <w:t>、</w:t>
      </w:r>
      <w:r w:rsidRPr="00E22FA3">
        <w:rPr>
          <w:rFonts w:ascii="Times New Roman" w:eastAsia="仿宋_GB2312" w:hAnsi="Times New Roman" w:cs="Times New Roman"/>
          <w:color w:val="000000"/>
          <w:sz w:val="32"/>
          <w:szCs w:val="32"/>
        </w:rPr>
        <w:t>13-10-02</w:t>
      </w:r>
      <w:r w:rsidRPr="00E22FA3">
        <w:rPr>
          <w:rFonts w:ascii="Times New Roman" w:eastAsia="仿宋_GB2312" w:hAnsi="Times New Roman" w:cs="Times New Roman"/>
          <w:color w:val="000000"/>
          <w:sz w:val="32"/>
          <w:szCs w:val="32"/>
        </w:rPr>
        <w:t>等；用于眼表创面修复、角膜板层移植的产品分类编码包括</w:t>
      </w:r>
      <w:r w:rsidRPr="00E22FA3">
        <w:rPr>
          <w:rFonts w:ascii="Times New Roman" w:eastAsia="仿宋_GB2312" w:hAnsi="Times New Roman" w:cs="Times New Roman"/>
          <w:color w:val="000000"/>
          <w:sz w:val="32"/>
          <w:szCs w:val="32"/>
        </w:rPr>
        <w:t>16-07-10</w:t>
      </w:r>
      <w:r w:rsidRPr="00E22FA3">
        <w:rPr>
          <w:rFonts w:ascii="Times New Roman" w:eastAsia="仿宋_GB2312" w:hAnsi="Times New Roman" w:cs="Times New Roman"/>
          <w:color w:val="000000"/>
          <w:sz w:val="32"/>
          <w:szCs w:val="32"/>
        </w:rPr>
        <w:t>等。</w:t>
      </w:r>
    </w:p>
    <w:p w:rsidR="00F448B0" w:rsidRPr="00E22FA3" w:rsidRDefault="00F448B0" w:rsidP="006370A5">
      <w:pPr>
        <w:pStyle w:val="a7"/>
        <w:shd w:val="clear" w:color="auto" w:fill="FFFFFF"/>
        <w:spacing w:before="0" w:beforeAutospacing="0" w:after="0" w:afterAutospacing="0" w:line="520" w:lineRule="exact"/>
        <w:ind w:firstLineChars="200" w:firstLine="640"/>
        <w:jc w:val="both"/>
        <w:rPr>
          <w:rFonts w:ascii="Times New Roman" w:eastAsia="仿宋_GB2312" w:hAnsi="Times New Roman" w:cs="Times New Roman"/>
          <w:color w:val="000000"/>
          <w:sz w:val="32"/>
          <w:szCs w:val="32"/>
        </w:rPr>
      </w:pPr>
      <w:r w:rsidRPr="00E22FA3">
        <w:rPr>
          <w:rFonts w:ascii="Times New Roman" w:eastAsia="仿宋_GB2312" w:hAnsi="Times New Roman" w:cs="Times New Roman"/>
          <w:color w:val="000000"/>
          <w:sz w:val="32"/>
          <w:szCs w:val="32"/>
        </w:rPr>
        <w:t>本指导原则不适用于颗粒</w:t>
      </w:r>
      <w:r w:rsidRPr="00E22FA3">
        <w:rPr>
          <w:rFonts w:ascii="Times New Roman" w:eastAsia="仿宋_GB2312" w:hAnsi="Times New Roman" w:cs="Times New Roman"/>
          <w:color w:val="000000"/>
          <w:sz w:val="32"/>
          <w:szCs w:val="32"/>
        </w:rPr>
        <w:t>/</w:t>
      </w:r>
      <w:r w:rsidRPr="00E22FA3">
        <w:rPr>
          <w:rFonts w:ascii="Times New Roman" w:eastAsia="仿宋_GB2312" w:hAnsi="Times New Roman" w:cs="Times New Roman"/>
          <w:color w:val="000000"/>
          <w:sz w:val="32"/>
          <w:szCs w:val="32"/>
        </w:rPr>
        <w:t>微粒形态的脱细胞基质材料产品。</w:t>
      </w:r>
    </w:p>
    <w:p w:rsidR="00F448B0" w:rsidRPr="00E22FA3" w:rsidRDefault="00F448B0" w:rsidP="006370A5">
      <w:pPr>
        <w:pStyle w:val="a7"/>
        <w:shd w:val="clear" w:color="auto" w:fill="FFFFFF"/>
        <w:spacing w:before="0" w:beforeAutospacing="0" w:after="0" w:afterAutospacing="0" w:line="520" w:lineRule="exact"/>
        <w:ind w:firstLineChars="200" w:firstLine="640"/>
        <w:jc w:val="both"/>
        <w:rPr>
          <w:rFonts w:ascii="Times New Roman" w:eastAsia="仿宋_GB2312" w:hAnsi="Times New Roman" w:cs="Times New Roman"/>
          <w:sz w:val="32"/>
          <w:szCs w:val="32"/>
        </w:rPr>
      </w:pPr>
      <w:r w:rsidRPr="00E22FA3">
        <w:rPr>
          <w:rFonts w:ascii="Times New Roman" w:eastAsia="仿宋_GB2312" w:hAnsi="Times New Roman" w:cs="Times New Roman"/>
          <w:color w:val="000000"/>
          <w:sz w:val="32"/>
          <w:szCs w:val="32"/>
        </w:rPr>
        <w:t>本指导原则不适用于创面的临时覆盖物或敷料</w:t>
      </w:r>
      <w:r w:rsidRPr="00E22FA3">
        <w:rPr>
          <w:rFonts w:ascii="Times New Roman" w:eastAsia="仿宋_GB2312" w:hAnsi="Times New Roman" w:cs="Times New Roman"/>
          <w:sz w:val="32"/>
          <w:szCs w:val="32"/>
        </w:rPr>
        <w:t>。</w:t>
      </w:r>
    </w:p>
    <w:p w:rsidR="00F448B0" w:rsidRPr="00E22FA3" w:rsidRDefault="00F448B0" w:rsidP="006370A5">
      <w:pPr>
        <w:pStyle w:val="a7"/>
        <w:shd w:val="clear" w:color="auto" w:fill="FFFFFF"/>
        <w:spacing w:before="0" w:beforeAutospacing="0" w:after="0" w:afterAutospacing="0" w:line="520" w:lineRule="exact"/>
        <w:ind w:firstLineChars="200" w:firstLine="640"/>
        <w:jc w:val="both"/>
        <w:rPr>
          <w:rFonts w:ascii="Times New Roman" w:eastAsia="仿宋_GB2312" w:hAnsi="Times New Roman" w:cs="Times New Roman"/>
          <w:color w:val="000000"/>
          <w:sz w:val="32"/>
          <w:szCs w:val="32"/>
        </w:rPr>
      </w:pPr>
      <w:r w:rsidRPr="00E22FA3">
        <w:rPr>
          <w:rFonts w:ascii="Times New Roman" w:eastAsia="仿宋_GB2312" w:hAnsi="Times New Roman" w:cs="Times New Roman"/>
          <w:color w:val="000000"/>
          <w:sz w:val="32"/>
          <w:szCs w:val="32"/>
        </w:rPr>
        <w:t>其他相关产品可参考本指导原则适用部分。</w:t>
      </w:r>
    </w:p>
    <w:p w:rsidR="00F448B0" w:rsidRPr="00E22FA3" w:rsidRDefault="00F448B0" w:rsidP="006370A5">
      <w:pPr>
        <w:pStyle w:val="a7"/>
        <w:shd w:val="clear" w:color="auto" w:fill="FFFFFF"/>
        <w:spacing w:before="0" w:beforeAutospacing="0" w:after="0" w:afterAutospacing="0" w:line="520" w:lineRule="exact"/>
        <w:ind w:firstLineChars="200" w:firstLine="640"/>
        <w:jc w:val="both"/>
        <w:rPr>
          <w:rFonts w:ascii="Times New Roman" w:eastAsia="仿宋_GB2312" w:hAnsi="Times New Roman" w:cs="Times New Roman"/>
          <w:sz w:val="32"/>
          <w:szCs w:val="32"/>
        </w:rPr>
      </w:pPr>
      <w:r w:rsidRPr="00E22FA3">
        <w:rPr>
          <w:rFonts w:ascii="Times New Roman" w:eastAsia="仿宋_GB2312" w:hAnsi="Times New Roman" w:cs="Times New Roman"/>
          <w:sz w:val="32"/>
          <w:szCs w:val="32"/>
        </w:rPr>
        <w:t>脱细胞基质材料制成的组织工程产品、药械组合产品在参考本指导原则的基础上，宜符合相关规章、指导原则。</w:t>
      </w:r>
    </w:p>
    <w:p w:rsidR="00F448B0" w:rsidRPr="00E22FA3" w:rsidRDefault="00F448B0" w:rsidP="006370A5">
      <w:pPr>
        <w:spacing w:line="520" w:lineRule="exact"/>
        <w:ind w:firstLineChars="200" w:firstLine="640"/>
        <w:rPr>
          <w:rFonts w:eastAsia="黑体"/>
          <w:bCs/>
          <w:kern w:val="44"/>
          <w:sz w:val="32"/>
          <w:szCs w:val="44"/>
        </w:rPr>
      </w:pPr>
      <w:r w:rsidRPr="00E22FA3">
        <w:rPr>
          <w:rFonts w:eastAsia="黑体"/>
          <w:bCs/>
          <w:kern w:val="44"/>
          <w:sz w:val="32"/>
          <w:szCs w:val="44"/>
        </w:rPr>
        <w:t>二、注册审查要点</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注册申报资料应满足现行医疗器械注册申报资料通用要求，并在其基础上重点考虑以下内容：</w:t>
      </w:r>
    </w:p>
    <w:p w:rsidR="00F448B0" w:rsidRPr="00E22FA3" w:rsidRDefault="00F448B0" w:rsidP="006370A5">
      <w:pPr>
        <w:spacing w:line="520" w:lineRule="exact"/>
        <w:ind w:firstLineChars="200" w:firstLine="640"/>
        <w:rPr>
          <w:rFonts w:eastAsia="楷体_GB2312"/>
          <w:color w:val="000000"/>
          <w:kern w:val="44"/>
          <w:sz w:val="32"/>
          <w:szCs w:val="44"/>
        </w:rPr>
      </w:pPr>
      <w:r w:rsidRPr="00E22FA3">
        <w:rPr>
          <w:rFonts w:eastAsia="楷体_GB2312"/>
          <w:color w:val="000000"/>
          <w:kern w:val="44"/>
          <w:sz w:val="32"/>
          <w:szCs w:val="44"/>
        </w:rPr>
        <w:t>（一）监管信息</w:t>
      </w:r>
    </w:p>
    <w:p w:rsidR="00F448B0" w:rsidRPr="00E22FA3" w:rsidRDefault="00F448B0" w:rsidP="006370A5">
      <w:pPr>
        <w:spacing w:line="520" w:lineRule="exact"/>
        <w:ind w:firstLineChars="200" w:firstLine="640"/>
        <w:rPr>
          <w:rFonts w:eastAsia="楷体_GB2312"/>
          <w:color w:val="000000"/>
          <w:kern w:val="44"/>
          <w:sz w:val="32"/>
          <w:szCs w:val="44"/>
        </w:rPr>
      </w:pPr>
      <w:r w:rsidRPr="00E22FA3">
        <w:rPr>
          <w:rFonts w:eastAsia="仿宋_GB2312"/>
          <w:color w:val="000000"/>
          <w:sz w:val="32"/>
          <w:szCs w:val="32"/>
        </w:rPr>
        <w:t>1.</w:t>
      </w:r>
      <w:r w:rsidRPr="00E22FA3">
        <w:rPr>
          <w:rFonts w:eastAsia="仿宋_GB2312"/>
          <w:color w:val="000000"/>
          <w:sz w:val="32"/>
          <w:szCs w:val="32"/>
        </w:rPr>
        <w:t>产品名称</w:t>
      </w:r>
    </w:p>
    <w:p w:rsidR="00F448B0" w:rsidRPr="00E22FA3" w:rsidRDefault="00F448B0" w:rsidP="006370A5">
      <w:pPr>
        <w:adjustRightInd w:val="0"/>
        <w:snapToGrid w:val="0"/>
        <w:spacing w:line="520" w:lineRule="exact"/>
        <w:ind w:firstLineChars="200" w:firstLine="640"/>
        <w:rPr>
          <w:rFonts w:eastAsia="仿宋_GB2312"/>
          <w:color w:val="000000"/>
          <w:sz w:val="32"/>
          <w:szCs w:val="32"/>
        </w:rPr>
      </w:pPr>
      <w:r w:rsidRPr="00E22FA3">
        <w:rPr>
          <w:rFonts w:eastAsia="仿宋_GB2312"/>
          <w:color w:val="000000"/>
          <w:sz w:val="32"/>
          <w:szCs w:val="32"/>
        </w:rPr>
        <w:t>产品中文名称应采用《医疗器械分类目录》或国家标准、行业标准中的通用名称，并符合《医疗器械通用名称命名规则》的要求。可参考相关临床共识、指导原则确定产品核心词，体现技术原理、结构组成或预期目的，如</w:t>
      </w:r>
      <w:r w:rsidRPr="00E22FA3">
        <w:rPr>
          <w:rFonts w:eastAsia="仿宋"/>
          <w:color w:val="000000"/>
          <w:sz w:val="32"/>
          <w:szCs w:val="32"/>
        </w:rPr>
        <w:t>“</w:t>
      </w:r>
      <w:r w:rsidRPr="00E22FA3">
        <w:rPr>
          <w:rFonts w:eastAsia="仿宋_GB2312"/>
          <w:color w:val="000000"/>
          <w:sz w:val="32"/>
          <w:szCs w:val="32"/>
        </w:rPr>
        <w:t>皮肤替代物</w:t>
      </w:r>
      <w:r w:rsidRPr="00E22FA3">
        <w:rPr>
          <w:rFonts w:eastAsia="仿宋"/>
          <w:color w:val="000000"/>
          <w:sz w:val="32"/>
          <w:szCs w:val="32"/>
        </w:rPr>
        <w:t>”“</w:t>
      </w:r>
      <w:r w:rsidRPr="00E22FA3">
        <w:rPr>
          <w:rFonts w:eastAsia="仿宋_GB2312"/>
          <w:color w:val="000000"/>
          <w:sz w:val="32"/>
          <w:szCs w:val="32"/>
        </w:rPr>
        <w:t>真皮替代物</w:t>
      </w:r>
      <w:r w:rsidRPr="00E22FA3">
        <w:rPr>
          <w:rFonts w:eastAsia="仿宋"/>
          <w:color w:val="000000"/>
          <w:sz w:val="32"/>
          <w:szCs w:val="32"/>
        </w:rPr>
        <w:t>”“</w:t>
      </w:r>
      <w:r w:rsidRPr="00E22FA3">
        <w:rPr>
          <w:rFonts w:eastAsia="仿宋_GB2312"/>
          <w:color w:val="000000"/>
          <w:sz w:val="32"/>
          <w:szCs w:val="32"/>
        </w:rPr>
        <w:t>角膜植片</w:t>
      </w:r>
      <w:r w:rsidRPr="00E22FA3">
        <w:rPr>
          <w:rFonts w:eastAsia="仿宋"/>
          <w:color w:val="000000"/>
          <w:sz w:val="32"/>
          <w:szCs w:val="32"/>
        </w:rPr>
        <w:t>”</w:t>
      </w:r>
      <w:r w:rsidRPr="00E22FA3">
        <w:rPr>
          <w:rFonts w:eastAsia="仿宋_GB2312"/>
          <w:color w:val="000000"/>
          <w:sz w:val="32"/>
          <w:szCs w:val="32"/>
        </w:rPr>
        <w:t>等，也可使用</w:t>
      </w:r>
      <w:r w:rsidRPr="00E22FA3">
        <w:rPr>
          <w:rFonts w:eastAsia="仿宋"/>
          <w:color w:val="000000"/>
          <w:sz w:val="32"/>
          <w:szCs w:val="32"/>
        </w:rPr>
        <w:t>“</w:t>
      </w:r>
      <w:r w:rsidRPr="00E22FA3">
        <w:rPr>
          <w:rFonts w:eastAsia="仿宋_GB2312"/>
          <w:color w:val="000000"/>
          <w:sz w:val="32"/>
          <w:szCs w:val="32"/>
        </w:rPr>
        <w:t>修复材料</w:t>
      </w:r>
      <w:r w:rsidRPr="00E22FA3">
        <w:rPr>
          <w:rFonts w:eastAsia="仿宋"/>
          <w:color w:val="000000"/>
          <w:sz w:val="32"/>
          <w:szCs w:val="32"/>
        </w:rPr>
        <w:t>”</w:t>
      </w:r>
      <w:r w:rsidRPr="00E22FA3">
        <w:rPr>
          <w:rFonts w:eastAsia="仿宋_GB2312"/>
          <w:color w:val="000000"/>
          <w:sz w:val="32"/>
          <w:szCs w:val="32"/>
        </w:rPr>
        <w:t>作为核心词；可使用不超过</w:t>
      </w:r>
      <w:r w:rsidRPr="00E22FA3">
        <w:rPr>
          <w:rFonts w:eastAsia="仿宋_GB2312"/>
          <w:color w:val="000000"/>
          <w:kern w:val="0"/>
          <w:sz w:val="32"/>
          <w:szCs w:val="32"/>
        </w:rPr>
        <w:t>3</w:t>
      </w:r>
      <w:r w:rsidRPr="00E22FA3">
        <w:rPr>
          <w:rFonts w:eastAsia="仿宋_GB2312"/>
          <w:color w:val="000000"/>
          <w:sz w:val="32"/>
          <w:szCs w:val="32"/>
        </w:rPr>
        <w:t>个特征词，体现动物来源及部位、加工工艺、材料名称等，如</w:t>
      </w:r>
      <w:r w:rsidRPr="00E22FA3">
        <w:rPr>
          <w:rFonts w:eastAsia="仿宋"/>
          <w:color w:val="000000"/>
          <w:sz w:val="32"/>
          <w:szCs w:val="32"/>
        </w:rPr>
        <w:t>“</w:t>
      </w:r>
      <w:r w:rsidRPr="00E22FA3">
        <w:rPr>
          <w:rFonts w:eastAsia="仿宋_GB2312"/>
          <w:color w:val="000000"/>
          <w:sz w:val="32"/>
          <w:szCs w:val="32"/>
        </w:rPr>
        <w:t>猪真皮脱细胞基质</w:t>
      </w:r>
      <w:r w:rsidRPr="00E22FA3">
        <w:rPr>
          <w:rFonts w:eastAsia="仿宋"/>
          <w:color w:val="000000"/>
          <w:sz w:val="32"/>
          <w:szCs w:val="32"/>
        </w:rPr>
        <w:t>”</w:t>
      </w:r>
      <w:r w:rsidRPr="00E22FA3">
        <w:rPr>
          <w:rFonts w:eastAsia="仿宋_GB2312"/>
          <w:color w:val="000000"/>
          <w:sz w:val="32"/>
          <w:szCs w:val="32"/>
        </w:rPr>
        <w:t>等。</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2.</w:t>
      </w:r>
      <w:r w:rsidRPr="00E22FA3">
        <w:rPr>
          <w:rFonts w:eastAsia="仿宋_GB2312"/>
          <w:color w:val="000000"/>
          <w:sz w:val="32"/>
          <w:szCs w:val="32"/>
        </w:rPr>
        <w:t>分类编码</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该类产品为第三类医疗器械，根据《医疗器械分类目录》选择适宜的一级、二级产品类别。</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3.</w:t>
      </w:r>
      <w:r w:rsidRPr="00E22FA3">
        <w:rPr>
          <w:rFonts w:eastAsia="仿宋_GB2312"/>
          <w:color w:val="000000"/>
          <w:sz w:val="32"/>
          <w:szCs w:val="32"/>
        </w:rPr>
        <w:t>注册单元划分</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产品注册单元的划分宜符合《医疗器械注册单元划分指导原则》的要求。注册单元划分的原则及举例包含并不限于：</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kern w:val="0"/>
          <w:sz w:val="32"/>
          <w:szCs w:val="32"/>
        </w:rPr>
        <w:t>3.1</w:t>
      </w:r>
      <w:r w:rsidRPr="00E22FA3">
        <w:rPr>
          <w:rFonts w:eastAsia="仿宋_GB2312"/>
          <w:color w:val="000000"/>
          <w:sz w:val="32"/>
          <w:szCs w:val="32"/>
        </w:rPr>
        <w:t>原材料来源动物种类不同，划分为不同的注册单元。</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kern w:val="0"/>
          <w:sz w:val="32"/>
          <w:szCs w:val="32"/>
        </w:rPr>
        <w:t>3.2</w:t>
      </w:r>
      <w:r w:rsidRPr="00E22FA3">
        <w:rPr>
          <w:rFonts w:eastAsia="仿宋_GB2312"/>
          <w:color w:val="000000"/>
          <w:sz w:val="32"/>
          <w:szCs w:val="32"/>
        </w:rPr>
        <w:t>原材料来源动物种类相同，但组织类型不同的，划分为不同的注册单元，如猪真皮来源与猪小肠黏膜下层来源的产品。</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kern w:val="0"/>
          <w:sz w:val="32"/>
          <w:szCs w:val="32"/>
        </w:rPr>
        <w:t>3.3</w:t>
      </w:r>
      <w:r w:rsidRPr="00E22FA3">
        <w:rPr>
          <w:rFonts w:eastAsia="仿宋_GB2312"/>
          <w:color w:val="000000"/>
          <w:sz w:val="32"/>
          <w:szCs w:val="32"/>
        </w:rPr>
        <w:t>采用不同脱细胞处理工艺的，如不同的物理、化学和</w:t>
      </w:r>
      <w:r w:rsidRPr="00E22FA3">
        <w:rPr>
          <w:rFonts w:eastAsia="仿宋_GB2312"/>
          <w:color w:val="000000"/>
          <w:sz w:val="32"/>
          <w:szCs w:val="32"/>
        </w:rPr>
        <w:t>/</w:t>
      </w:r>
      <w:r w:rsidRPr="00E22FA3">
        <w:rPr>
          <w:rFonts w:eastAsia="仿宋_GB2312"/>
          <w:color w:val="000000"/>
          <w:sz w:val="32"/>
          <w:szCs w:val="32"/>
        </w:rPr>
        <w:t>或生物技术的类型等，原则上划分为不同的注册单元。</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kern w:val="0"/>
          <w:sz w:val="32"/>
          <w:szCs w:val="32"/>
        </w:rPr>
        <w:t>3.4</w:t>
      </w:r>
      <w:r w:rsidRPr="00E22FA3">
        <w:rPr>
          <w:rFonts w:eastAsia="仿宋_GB2312"/>
          <w:color w:val="000000"/>
          <w:sz w:val="32"/>
          <w:szCs w:val="32"/>
        </w:rPr>
        <w:t>交联与非交联、不同交联程度、湿态保存与冷冻干燥的产品，宜划分为不同注册单元。</w:t>
      </w:r>
    </w:p>
    <w:p w:rsidR="00F448B0" w:rsidRPr="00E22FA3" w:rsidRDefault="00F448B0" w:rsidP="006370A5">
      <w:pPr>
        <w:spacing w:line="520" w:lineRule="exact"/>
        <w:ind w:firstLineChars="200" w:firstLine="640"/>
        <w:rPr>
          <w:rFonts w:eastAsia="楷体_GB2312"/>
          <w:color w:val="000000"/>
          <w:sz w:val="32"/>
        </w:rPr>
      </w:pPr>
      <w:r w:rsidRPr="00E22FA3">
        <w:rPr>
          <w:rFonts w:eastAsia="楷体_GB2312"/>
          <w:color w:val="000000"/>
          <w:sz w:val="32"/>
        </w:rPr>
        <w:t>（二）综述资料</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1.</w:t>
      </w:r>
      <w:r w:rsidRPr="00E22FA3">
        <w:rPr>
          <w:rFonts w:eastAsia="仿宋_GB2312"/>
          <w:color w:val="000000"/>
          <w:sz w:val="32"/>
          <w:szCs w:val="32"/>
        </w:rPr>
        <w:t>产品描述</w:t>
      </w:r>
    </w:p>
    <w:p w:rsidR="00F448B0" w:rsidRPr="00E22FA3" w:rsidRDefault="00F448B0" w:rsidP="006370A5">
      <w:pPr>
        <w:spacing w:line="520" w:lineRule="exact"/>
        <w:ind w:firstLineChars="200" w:firstLine="640"/>
        <w:rPr>
          <w:rFonts w:eastAsia="仿宋_GB2312"/>
          <w:bCs/>
          <w:color w:val="000000"/>
          <w:sz w:val="32"/>
          <w:szCs w:val="32"/>
        </w:rPr>
      </w:pPr>
      <w:r w:rsidRPr="00E22FA3">
        <w:rPr>
          <w:rFonts w:eastAsia="仿宋_GB2312"/>
          <w:color w:val="000000"/>
          <w:kern w:val="0"/>
          <w:sz w:val="32"/>
          <w:szCs w:val="32"/>
        </w:rPr>
        <w:t>1.1</w:t>
      </w:r>
      <w:r w:rsidRPr="00E22FA3">
        <w:rPr>
          <w:rFonts w:eastAsia="仿宋_GB2312"/>
          <w:bCs/>
          <w:color w:val="000000"/>
          <w:sz w:val="32"/>
          <w:szCs w:val="32"/>
        </w:rPr>
        <w:t>器械及</w:t>
      </w:r>
      <w:r w:rsidRPr="00E22FA3">
        <w:rPr>
          <w:rFonts w:eastAsia="仿宋_GB2312"/>
          <w:color w:val="000000"/>
          <w:sz w:val="32"/>
          <w:szCs w:val="32"/>
        </w:rPr>
        <w:t>操作</w:t>
      </w:r>
      <w:r w:rsidRPr="00E22FA3">
        <w:rPr>
          <w:rFonts w:eastAsia="仿宋_GB2312"/>
          <w:bCs/>
          <w:color w:val="000000"/>
          <w:sz w:val="32"/>
          <w:szCs w:val="32"/>
        </w:rPr>
        <w:t>原理描述</w:t>
      </w:r>
    </w:p>
    <w:p w:rsidR="00F448B0" w:rsidRPr="00E22FA3" w:rsidRDefault="00F448B0" w:rsidP="006370A5">
      <w:pPr>
        <w:spacing w:line="520" w:lineRule="exact"/>
        <w:ind w:firstLineChars="200" w:firstLine="640"/>
        <w:rPr>
          <w:rFonts w:eastAsia="仿宋_GB2312"/>
          <w:bCs/>
          <w:color w:val="000000"/>
          <w:sz w:val="32"/>
          <w:szCs w:val="32"/>
        </w:rPr>
      </w:pPr>
      <w:r w:rsidRPr="00E22FA3">
        <w:rPr>
          <w:rFonts w:eastAsia="仿宋_GB2312"/>
          <w:bCs/>
          <w:color w:val="000000"/>
          <w:sz w:val="32"/>
          <w:szCs w:val="32"/>
        </w:rPr>
        <w:t>描述</w:t>
      </w:r>
      <w:r w:rsidRPr="00E22FA3">
        <w:rPr>
          <w:rFonts w:eastAsia="仿宋_GB2312"/>
          <w:color w:val="000000"/>
          <w:sz w:val="32"/>
          <w:szCs w:val="32"/>
        </w:rPr>
        <w:t>产品</w:t>
      </w:r>
      <w:r w:rsidRPr="00E22FA3">
        <w:rPr>
          <w:rFonts w:eastAsia="仿宋_GB2312"/>
          <w:bCs/>
          <w:color w:val="000000"/>
          <w:sz w:val="32"/>
          <w:szCs w:val="32"/>
        </w:rPr>
        <w:t>预期适用的创面情况、创面具体部位（若适用）、类型（如致伤因素）、程度或深度等。描述产品的使用方式、在创面愈合和修复过程中发挥的作用、随愈合和修复过程中产品的降解规律与特征。</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描述产品外观、形状、尺寸，并提供产品的宏观及微观形貌照片。描述材料成分、交联情况（如是，明确交联剂、交联机理）、保存状态（如为湿态保存，明确保存液）、灭菌方式及货架有效期。</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阐述产品来源的动物种属、品系（如适用）、地理来源、年龄、取材部位、组织类型等，参考《动物源性医疗器械注册技术审查指导原则》、</w:t>
      </w:r>
      <w:r w:rsidRPr="00E22FA3">
        <w:rPr>
          <w:rFonts w:eastAsia="仿宋_GB2312"/>
          <w:color w:val="000000"/>
          <w:kern w:val="0"/>
          <w:sz w:val="32"/>
          <w:szCs w:val="32"/>
        </w:rPr>
        <w:t>YY/T 0771.2</w:t>
      </w:r>
      <w:r w:rsidRPr="00E22FA3">
        <w:rPr>
          <w:rFonts w:eastAsia="仿宋_GB2312"/>
          <w:color w:val="000000"/>
          <w:sz w:val="32"/>
          <w:szCs w:val="32"/>
        </w:rPr>
        <w:t>标准中相关要求。</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如产品放置于保存液中或湿态保存，提供保存液各组分的作用、化学名称、浓度信息。</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列表提供与人体直接</w:t>
      </w:r>
      <w:r w:rsidRPr="00E22FA3">
        <w:rPr>
          <w:rFonts w:eastAsia="仿宋_GB2312"/>
          <w:color w:val="000000"/>
          <w:sz w:val="32"/>
          <w:szCs w:val="32"/>
        </w:rPr>
        <w:t>/</w:t>
      </w:r>
      <w:r w:rsidRPr="00E22FA3">
        <w:rPr>
          <w:rFonts w:eastAsia="仿宋_GB2312"/>
          <w:color w:val="000000"/>
          <w:sz w:val="32"/>
          <w:szCs w:val="32"/>
        </w:rPr>
        <w:t>间接接触的组成成分信息，明确化学名称、结构式、作用及机理，如有商品名、牌号、</w:t>
      </w:r>
      <w:r w:rsidRPr="00E22FA3">
        <w:rPr>
          <w:rFonts w:eastAsia="仿宋_GB2312"/>
          <w:color w:val="000000"/>
          <w:kern w:val="0"/>
          <w:sz w:val="32"/>
          <w:szCs w:val="32"/>
        </w:rPr>
        <w:t>CAS</w:t>
      </w:r>
      <w:r w:rsidRPr="00E22FA3">
        <w:rPr>
          <w:rFonts w:eastAsia="仿宋_GB2312"/>
          <w:color w:val="000000"/>
          <w:sz w:val="32"/>
          <w:szCs w:val="32"/>
        </w:rPr>
        <w:t>号的宜进一步补充，如为混合物明确比例。提供原材料的供应商名称、对应的入厂检验标准及入厂检验报告。</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简述脱细胞方法、具体步骤及脱细胞试剂信息，描述各工艺步骤及试剂发挥作用的机理。</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提供产品的使用方法描述和</w:t>
      </w:r>
      <w:r w:rsidRPr="00E22FA3">
        <w:rPr>
          <w:rFonts w:eastAsia="仿宋_GB2312"/>
          <w:color w:val="000000"/>
          <w:sz w:val="32"/>
          <w:szCs w:val="32"/>
        </w:rPr>
        <w:t>/</w:t>
      </w:r>
      <w:r w:rsidRPr="00E22FA3">
        <w:rPr>
          <w:rFonts w:eastAsia="仿宋_GB2312"/>
          <w:color w:val="000000"/>
          <w:sz w:val="32"/>
          <w:szCs w:val="32"/>
        </w:rPr>
        <w:t>或图示，如需清洗或复水，明确具体的操作步骤、时间，明确产品的缝合</w:t>
      </w:r>
      <w:r w:rsidRPr="00E22FA3">
        <w:rPr>
          <w:rFonts w:eastAsia="仿宋_GB2312"/>
          <w:color w:val="000000"/>
          <w:sz w:val="32"/>
          <w:szCs w:val="32"/>
        </w:rPr>
        <w:t>/</w:t>
      </w:r>
      <w:r w:rsidRPr="00E22FA3">
        <w:rPr>
          <w:rFonts w:eastAsia="仿宋_GB2312"/>
          <w:color w:val="000000"/>
          <w:sz w:val="32"/>
          <w:szCs w:val="32"/>
        </w:rPr>
        <w:t>固定方式等信息。</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1.2</w:t>
      </w:r>
      <w:r w:rsidRPr="00E22FA3">
        <w:rPr>
          <w:rFonts w:eastAsia="仿宋_GB2312"/>
          <w:color w:val="000000"/>
          <w:sz w:val="32"/>
          <w:szCs w:val="32"/>
        </w:rPr>
        <w:t>型号规格</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提供产品各型号规格的划分说明。</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对于存在多种型号、规格的产品，宜有明确的区分，如尺寸、厚度等，不应有</w:t>
      </w:r>
      <w:r w:rsidRPr="00E22FA3">
        <w:rPr>
          <w:rFonts w:eastAsia="仿宋_GB2312"/>
          <w:color w:val="000000"/>
          <w:sz w:val="32"/>
          <w:szCs w:val="32"/>
        </w:rPr>
        <w:t>“</w:t>
      </w:r>
      <w:r w:rsidRPr="00E22FA3">
        <w:rPr>
          <w:rFonts w:eastAsia="仿宋_GB2312"/>
          <w:color w:val="000000"/>
          <w:sz w:val="32"/>
          <w:szCs w:val="32"/>
        </w:rPr>
        <w:t>定制特殊尺寸</w:t>
      </w:r>
      <w:r w:rsidRPr="00E22FA3">
        <w:rPr>
          <w:rFonts w:eastAsia="仿宋_GB2312"/>
          <w:color w:val="000000"/>
          <w:sz w:val="32"/>
          <w:szCs w:val="32"/>
        </w:rPr>
        <w:t>”</w:t>
      </w:r>
      <w:r w:rsidRPr="00E22FA3">
        <w:rPr>
          <w:rFonts w:eastAsia="仿宋_GB2312"/>
          <w:color w:val="000000"/>
          <w:sz w:val="32"/>
          <w:szCs w:val="32"/>
        </w:rPr>
        <w:t>描述。</w:t>
      </w:r>
    </w:p>
    <w:p w:rsidR="00F448B0" w:rsidRPr="00E22FA3" w:rsidRDefault="00F448B0" w:rsidP="006370A5">
      <w:pPr>
        <w:spacing w:line="520" w:lineRule="exact"/>
        <w:ind w:firstLineChars="200" w:firstLine="640"/>
        <w:rPr>
          <w:rFonts w:eastAsia="仿宋_GB2312"/>
          <w:bCs/>
          <w:sz w:val="32"/>
          <w:szCs w:val="32"/>
        </w:rPr>
      </w:pPr>
      <w:r w:rsidRPr="00E22FA3">
        <w:rPr>
          <w:rFonts w:eastAsia="仿宋_GB2312"/>
          <w:bCs/>
          <w:sz w:val="32"/>
          <w:szCs w:val="32"/>
        </w:rPr>
        <w:t>1.3</w:t>
      </w:r>
      <w:r w:rsidRPr="00E22FA3">
        <w:rPr>
          <w:rFonts w:eastAsia="仿宋_GB2312"/>
          <w:bCs/>
          <w:sz w:val="32"/>
          <w:szCs w:val="32"/>
        </w:rPr>
        <w:t>器械</w:t>
      </w:r>
      <w:r w:rsidRPr="00E22FA3">
        <w:rPr>
          <w:rFonts w:eastAsia="仿宋_GB2312"/>
          <w:color w:val="000000"/>
          <w:sz w:val="32"/>
          <w:szCs w:val="32"/>
        </w:rPr>
        <w:t>包装</w:t>
      </w:r>
      <w:r w:rsidRPr="00E22FA3">
        <w:rPr>
          <w:rFonts w:eastAsia="仿宋_GB2312"/>
          <w:bCs/>
          <w:sz w:val="32"/>
          <w:szCs w:val="32"/>
        </w:rPr>
        <w:t>描述</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提供包装形式描述及照片。提供初包装材料列表，包含材料化学名称、牌号（如有）、尺寸信息。说明产品的包装方式及材料与灭菌方式的兼容性。</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含有保存液或湿态保存的产品，提供与液体接触的初包装材料的安全性证明资料。</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1.4</w:t>
      </w:r>
      <w:r w:rsidRPr="00E22FA3">
        <w:rPr>
          <w:rFonts w:eastAsia="仿宋_GB2312"/>
          <w:color w:val="000000"/>
          <w:sz w:val="32"/>
          <w:szCs w:val="32"/>
        </w:rPr>
        <w:t>研发历程</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阐述产品的研发背景和目的，包含并不限于目前临床上未被满足的需求、现有的医疗器械或其他诊疗手段的分析等，申报产品相对于现有产品或诊疗手段的风险及受益。</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提供申报产品的研发历程。首先阐述选择动物来源的原因和优势，提供动物种类及取材部位的选择依据，宜结合取材部位的解剖学、组织学结构及组成信息（包含细胞种类、细胞外基质组成等）。其次阐述申报产品加工工艺的选择依据及过程，宜结合脱细胞工艺及试剂的脱细胞机理及效果、交联工艺及交联程度（如有）等。提供原材料及加工工艺等在国内外已上市同类产品中的应用情况。如已上市产品经验数据、文献等不充分，宜提供包含试验数据的研发总结，考虑产品原材料的差异、加工工艺条件边界，对所制备产品的成分及结构、性能，进而对产品安全性、有效性的影响。</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如有参考的同类产品或前代产品，提供具体信息以及选择其作为研发参考的原因。</w:t>
      </w:r>
    </w:p>
    <w:p w:rsidR="00F448B0" w:rsidRPr="00E22FA3" w:rsidRDefault="00F448B0" w:rsidP="006370A5">
      <w:pPr>
        <w:spacing w:line="520" w:lineRule="exact"/>
        <w:ind w:firstLineChars="200" w:firstLine="640"/>
        <w:rPr>
          <w:rFonts w:eastAsia="仿宋_GB2312"/>
          <w:bCs/>
          <w:color w:val="000000"/>
          <w:sz w:val="32"/>
          <w:szCs w:val="32"/>
        </w:rPr>
      </w:pPr>
      <w:r w:rsidRPr="00E22FA3">
        <w:rPr>
          <w:rFonts w:eastAsia="仿宋_GB2312"/>
          <w:color w:val="000000"/>
          <w:sz w:val="32"/>
          <w:szCs w:val="32"/>
        </w:rPr>
        <w:t>1.5</w:t>
      </w:r>
      <w:r w:rsidRPr="00E22FA3">
        <w:rPr>
          <w:rFonts w:eastAsia="仿宋_GB2312"/>
          <w:bCs/>
          <w:color w:val="000000"/>
          <w:sz w:val="32"/>
          <w:szCs w:val="32"/>
        </w:rPr>
        <w:t>与同类和</w:t>
      </w:r>
      <w:r w:rsidRPr="00E22FA3">
        <w:rPr>
          <w:rFonts w:eastAsia="仿宋_GB2312"/>
          <w:bCs/>
          <w:color w:val="000000"/>
          <w:sz w:val="32"/>
          <w:szCs w:val="32"/>
        </w:rPr>
        <w:t>/</w:t>
      </w:r>
      <w:r w:rsidRPr="00E22FA3">
        <w:rPr>
          <w:rFonts w:eastAsia="仿宋_GB2312"/>
          <w:bCs/>
          <w:color w:val="000000"/>
          <w:sz w:val="32"/>
          <w:szCs w:val="32"/>
        </w:rPr>
        <w:t>或前代产品的参考和比较</w:t>
      </w:r>
    </w:p>
    <w:p w:rsidR="00F448B0" w:rsidRPr="00E22FA3" w:rsidRDefault="00F448B0" w:rsidP="006370A5">
      <w:pPr>
        <w:spacing w:line="520" w:lineRule="exact"/>
        <w:ind w:firstLineChars="200" w:firstLine="640"/>
        <w:rPr>
          <w:rFonts w:eastAsia="仿宋_GB2312"/>
          <w:bCs/>
          <w:color w:val="000000"/>
          <w:sz w:val="32"/>
          <w:szCs w:val="32"/>
        </w:rPr>
      </w:pPr>
      <w:r w:rsidRPr="00E22FA3">
        <w:rPr>
          <w:rFonts w:eastAsia="仿宋_GB2312"/>
          <w:bCs/>
          <w:color w:val="000000"/>
          <w:sz w:val="32"/>
          <w:szCs w:val="32"/>
        </w:rPr>
        <w:t>列表对比说明申报产品与同类产品和</w:t>
      </w:r>
      <w:r w:rsidRPr="00E22FA3">
        <w:rPr>
          <w:rFonts w:eastAsia="仿宋_GB2312"/>
          <w:bCs/>
          <w:color w:val="000000"/>
          <w:sz w:val="32"/>
          <w:szCs w:val="32"/>
        </w:rPr>
        <w:t>/</w:t>
      </w:r>
      <w:r w:rsidRPr="00E22FA3">
        <w:rPr>
          <w:rFonts w:eastAsia="仿宋_GB2312"/>
          <w:bCs/>
          <w:color w:val="000000"/>
          <w:sz w:val="32"/>
          <w:szCs w:val="32"/>
        </w:rPr>
        <w:t>或前代产品在工作原理、结构组成、制造材料（包括原材料来源、加工工艺）、性能指标、作用方式，以及适用范围等方面的异同，有差异的项目进一步说明针对差异引入的风险而开展的研究。</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2.</w:t>
      </w:r>
      <w:r w:rsidRPr="00E22FA3">
        <w:rPr>
          <w:rFonts w:eastAsia="仿宋_GB2312"/>
          <w:color w:val="000000"/>
          <w:sz w:val="32"/>
          <w:szCs w:val="32"/>
        </w:rPr>
        <w:t>适用范围和禁忌证</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描述产品的适用范围，应与临床评价资料相一致。产品适用范围宜明确创面的分类、部位、严重程度等信息。</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描述产品的适用人群信息，患者选择标准的信息，以及使用过程中需要监测的参数、考虑的因素。</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描述产品的禁忌证，如不适宜使用的人群、疾病、创面情况等。</w:t>
      </w:r>
    </w:p>
    <w:p w:rsidR="00F448B0" w:rsidRPr="00E22FA3" w:rsidRDefault="00F448B0" w:rsidP="006370A5">
      <w:pPr>
        <w:spacing w:line="520" w:lineRule="exact"/>
        <w:ind w:firstLineChars="200" w:firstLine="640"/>
        <w:rPr>
          <w:rFonts w:eastAsia="楷体_GB2312"/>
          <w:bCs/>
          <w:sz w:val="32"/>
          <w:szCs w:val="32"/>
        </w:rPr>
      </w:pPr>
      <w:r w:rsidRPr="00E22FA3">
        <w:rPr>
          <w:rFonts w:eastAsia="仿宋_GB2312"/>
          <w:sz w:val="32"/>
          <w:szCs w:val="32"/>
        </w:rPr>
        <w:t>3.</w:t>
      </w:r>
      <w:r w:rsidRPr="00E22FA3">
        <w:rPr>
          <w:rFonts w:eastAsia="仿宋_GB2312"/>
          <w:bCs/>
          <w:sz w:val="32"/>
          <w:szCs w:val="32"/>
        </w:rPr>
        <w:t>申报产品上市历史</w:t>
      </w:r>
    </w:p>
    <w:p w:rsidR="00F448B0" w:rsidRPr="00E22FA3" w:rsidRDefault="00F448B0" w:rsidP="006370A5">
      <w:pPr>
        <w:spacing w:line="520" w:lineRule="exact"/>
        <w:ind w:firstLineChars="200" w:firstLine="640"/>
        <w:rPr>
          <w:rFonts w:eastAsia="楷体_GB2312"/>
          <w:bCs/>
          <w:sz w:val="32"/>
          <w:szCs w:val="32"/>
        </w:rPr>
      </w:pPr>
      <w:r w:rsidRPr="00E22FA3">
        <w:rPr>
          <w:rFonts w:eastAsia="仿宋_GB2312"/>
          <w:color w:val="000000"/>
          <w:sz w:val="32"/>
          <w:szCs w:val="32"/>
        </w:rPr>
        <w:t>如适用，提交申报产品在各国家或地区的上市批准时间、销售情况（如历年销售量）等；说明申报产品与其他国家和地区上市时的异同；提供不良事件和召回的发生情况及比例，申请人采取的处理和解决方案，分析事件发生的原因，以及对产品安全性、有效性评价的影响等。</w:t>
      </w:r>
    </w:p>
    <w:p w:rsidR="00F448B0" w:rsidRPr="00E22FA3" w:rsidRDefault="00F448B0" w:rsidP="006370A5">
      <w:pPr>
        <w:spacing w:line="520" w:lineRule="exact"/>
        <w:ind w:firstLineChars="200" w:firstLine="640"/>
        <w:rPr>
          <w:rFonts w:eastAsia="楷体_GB2312"/>
          <w:color w:val="000000"/>
          <w:kern w:val="44"/>
          <w:sz w:val="32"/>
          <w:szCs w:val="44"/>
        </w:rPr>
      </w:pPr>
      <w:r w:rsidRPr="00E22FA3">
        <w:rPr>
          <w:rFonts w:eastAsia="楷体_GB2312"/>
          <w:color w:val="000000"/>
          <w:kern w:val="44"/>
          <w:sz w:val="32"/>
          <w:szCs w:val="44"/>
        </w:rPr>
        <w:t>（三）非临床资料</w:t>
      </w:r>
    </w:p>
    <w:p w:rsidR="00F448B0" w:rsidRPr="00E22FA3" w:rsidRDefault="00F448B0" w:rsidP="006370A5">
      <w:pPr>
        <w:spacing w:line="520" w:lineRule="exact"/>
        <w:ind w:firstLineChars="200" w:firstLine="640"/>
        <w:rPr>
          <w:rFonts w:eastAsia="仿宋_GB2312"/>
          <w:bCs/>
          <w:sz w:val="32"/>
          <w:szCs w:val="32"/>
        </w:rPr>
      </w:pPr>
      <w:r w:rsidRPr="00E22FA3">
        <w:rPr>
          <w:rFonts w:eastAsia="仿宋_GB2312"/>
          <w:bCs/>
          <w:sz w:val="32"/>
          <w:szCs w:val="32"/>
        </w:rPr>
        <w:t>1.</w:t>
      </w:r>
      <w:r w:rsidRPr="00E22FA3">
        <w:rPr>
          <w:rFonts w:eastAsia="仿宋_GB2312"/>
          <w:bCs/>
          <w:sz w:val="32"/>
          <w:szCs w:val="32"/>
        </w:rPr>
        <w:t>风险</w:t>
      </w:r>
      <w:r w:rsidRPr="00E22FA3">
        <w:rPr>
          <w:rFonts w:eastAsia="仿宋_GB2312"/>
          <w:color w:val="000000"/>
          <w:sz w:val="32"/>
          <w:szCs w:val="32"/>
        </w:rPr>
        <w:t>管理</w:t>
      </w:r>
      <w:r w:rsidRPr="00E22FA3">
        <w:rPr>
          <w:rFonts w:eastAsia="仿宋_GB2312"/>
          <w:bCs/>
          <w:sz w:val="32"/>
          <w:szCs w:val="32"/>
        </w:rPr>
        <w:t>资料</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申请人宜根据</w:t>
      </w:r>
      <w:r w:rsidRPr="00E22FA3">
        <w:rPr>
          <w:rFonts w:eastAsia="仿宋_GB2312"/>
          <w:color w:val="000000"/>
          <w:kern w:val="0"/>
          <w:sz w:val="32"/>
          <w:szCs w:val="32"/>
        </w:rPr>
        <w:t>GB/T 42062</w:t>
      </w:r>
      <w:r w:rsidRPr="00E22FA3">
        <w:rPr>
          <w:rFonts w:eastAsia="仿宋_GB2312"/>
          <w:color w:val="000000"/>
          <w:sz w:val="32"/>
          <w:szCs w:val="32"/>
        </w:rPr>
        <w:t>《医疗器械</w:t>
      </w:r>
      <w:r w:rsidRPr="00E22FA3">
        <w:rPr>
          <w:rFonts w:eastAsia="仿宋_GB2312"/>
          <w:color w:val="000000"/>
          <w:sz w:val="32"/>
          <w:szCs w:val="32"/>
        </w:rPr>
        <w:t xml:space="preserve"> </w:t>
      </w:r>
      <w:r w:rsidRPr="00E22FA3">
        <w:rPr>
          <w:rFonts w:eastAsia="仿宋_GB2312"/>
          <w:color w:val="000000"/>
          <w:sz w:val="32"/>
          <w:szCs w:val="32"/>
        </w:rPr>
        <w:t>风险管理对医疗器械应用》、</w:t>
      </w:r>
      <w:r w:rsidRPr="00E22FA3">
        <w:rPr>
          <w:rFonts w:eastAsia="仿宋_GB2312"/>
          <w:color w:val="000000"/>
          <w:kern w:val="0"/>
          <w:sz w:val="32"/>
          <w:szCs w:val="32"/>
        </w:rPr>
        <w:t>YY/T 0771</w:t>
      </w:r>
      <w:r w:rsidRPr="00E22FA3">
        <w:rPr>
          <w:rFonts w:eastAsia="仿宋_GB2312"/>
          <w:color w:val="000000"/>
          <w:sz w:val="32"/>
          <w:szCs w:val="32"/>
        </w:rPr>
        <w:t>动物源医疗器械系列标准、《动物源性医疗器械注册技术审查指导原则》等，对产品全生命周期进行风险管理，包括原材料收集及储运、加工制造、包装和灭菌、终产品储运、使用等各个环节，提供包括风险分析、风险评价、风险控制、剩余风险判定、综合风险判定的风险管理报告。</w:t>
      </w:r>
    </w:p>
    <w:p w:rsidR="00F448B0" w:rsidRPr="00E22FA3" w:rsidRDefault="00F448B0" w:rsidP="006370A5">
      <w:pPr>
        <w:spacing w:line="520" w:lineRule="exact"/>
        <w:ind w:firstLineChars="200" w:firstLine="640"/>
        <w:rPr>
          <w:rFonts w:eastAsia="仿宋_GB2312"/>
          <w:bCs/>
          <w:sz w:val="32"/>
          <w:szCs w:val="32"/>
        </w:rPr>
      </w:pPr>
      <w:r w:rsidRPr="00E22FA3">
        <w:rPr>
          <w:rFonts w:eastAsia="仿宋_GB2312"/>
          <w:bCs/>
          <w:sz w:val="32"/>
          <w:szCs w:val="32"/>
        </w:rPr>
        <w:t>2.</w:t>
      </w:r>
      <w:r w:rsidRPr="00E22FA3">
        <w:rPr>
          <w:rFonts w:eastAsia="仿宋_GB2312"/>
          <w:bCs/>
          <w:sz w:val="32"/>
          <w:szCs w:val="32"/>
        </w:rPr>
        <w:t>医疗器械安全和性能基本原则清单</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针对所有医疗器械及适用于此类产品的条款和要求，特别是</w:t>
      </w:r>
      <w:r w:rsidRPr="00E22FA3">
        <w:rPr>
          <w:rFonts w:eastAsia="仿宋_GB2312"/>
          <w:color w:val="000000"/>
          <w:kern w:val="0"/>
          <w:sz w:val="32"/>
          <w:szCs w:val="32"/>
        </w:rPr>
        <w:t>A13</w:t>
      </w:r>
      <w:r w:rsidRPr="00E22FA3">
        <w:rPr>
          <w:rFonts w:eastAsia="仿宋_GB2312"/>
          <w:color w:val="000000"/>
          <w:sz w:val="32"/>
          <w:szCs w:val="32"/>
        </w:rPr>
        <w:t>部分</w:t>
      </w:r>
      <w:r w:rsidRPr="00E22FA3">
        <w:rPr>
          <w:rFonts w:eastAsia="仿宋_GB2312"/>
          <w:color w:val="000000"/>
          <w:sz w:val="32"/>
          <w:szCs w:val="32"/>
        </w:rPr>
        <w:t>“</w:t>
      </w:r>
      <w:r w:rsidRPr="00E22FA3">
        <w:rPr>
          <w:rFonts w:eastAsia="仿宋_GB2312"/>
          <w:color w:val="000000"/>
          <w:sz w:val="32"/>
          <w:szCs w:val="32"/>
        </w:rPr>
        <w:t>含有生物源材料的医疗器械</w:t>
      </w:r>
      <w:r w:rsidRPr="00E22FA3">
        <w:rPr>
          <w:rFonts w:eastAsia="仿宋_GB2312"/>
          <w:color w:val="000000"/>
          <w:sz w:val="32"/>
          <w:szCs w:val="32"/>
        </w:rPr>
        <w:t>”</w:t>
      </w:r>
      <w:r w:rsidRPr="00E22FA3">
        <w:rPr>
          <w:rFonts w:eastAsia="仿宋_GB2312"/>
          <w:color w:val="000000"/>
          <w:sz w:val="32"/>
          <w:szCs w:val="32"/>
        </w:rPr>
        <w:t>，参照《医疗器械安全和性能基本原则符合性技术指南》判定适用性和提供资料，如有其他证明符合性的方法及客观证据也可提供。</w:t>
      </w:r>
    </w:p>
    <w:p w:rsidR="00F448B0" w:rsidRPr="00E22FA3" w:rsidRDefault="00F448B0" w:rsidP="006370A5">
      <w:pPr>
        <w:spacing w:line="520" w:lineRule="exact"/>
        <w:ind w:firstLineChars="200" w:firstLine="640"/>
        <w:rPr>
          <w:rFonts w:eastAsia="仿宋_GB2312"/>
          <w:bCs/>
          <w:sz w:val="32"/>
          <w:szCs w:val="32"/>
        </w:rPr>
      </w:pPr>
      <w:r w:rsidRPr="00E22FA3">
        <w:rPr>
          <w:rFonts w:eastAsia="仿宋_GB2312"/>
          <w:bCs/>
          <w:sz w:val="32"/>
          <w:szCs w:val="32"/>
        </w:rPr>
        <w:t>3.</w:t>
      </w:r>
      <w:r w:rsidRPr="00E22FA3">
        <w:rPr>
          <w:rFonts w:eastAsia="仿宋_GB2312"/>
          <w:bCs/>
          <w:sz w:val="32"/>
          <w:szCs w:val="32"/>
        </w:rPr>
        <w:t>产品技术要求及检验报告</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kern w:val="0"/>
          <w:sz w:val="32"/>
          <w:szCs w:val="32"/>
        </w:rPr>
        <w:t>3.1</w:t>
      </w:r>
      <w:r w:rsidRPr="00E22FA3">
        <w:rPr>
          <w:rFonts w:eastAsia="仿宋_GB2312"/>
          <w:color w:val="000000"/>
          <w:sz w:val="32"/>
          <w:szCs w:val="32"/>
        </w:rPr>
        <w:t>产品技术要求需按照《医疗器械产品技术要求编写指导原则》要求进行编制。</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kern w:val="0"/>
          <w:sz w:val="32"/>
          <w:szCs w:val="32"/>
        </w:rPr>
        <w:t>3.2</w:t>
      </w:r>
      <w:r w:rsidRPr="00E22FA3">
        <w:rPr>
          <w:rFonts w:eastAsia="仿宋_GB2312"/>
          <w:color w:val="000000"/>
          <w:kern w:val="0"/>
          <w:sz w:val="32"/>
          <w:szCs w:val="32"/>
        </w:rPr>
        <w:t>此</w:t>
      </w:r>
      <w:r w:rsidRPr="00E22FA3">
        <w:rPr>
          <w:rFonts w:eastAsia="仿宋_GB2312"/>
          <w:color w:val="000000"/>
          <w:sz w:val="32"/>
          <w:szCs w:val="32"/>
        </w:rPr>
        <w:t>类产品的来源（动物种类及部位）、加工工艺条件、预期用途等可能差异很大，因此宜根据临床应用及需求制定终产品的性能指标，参考适用的标准、指导原则，制定可进行客观判定的成品的功能性、安全性指标；以下指标中如不适用于申报产品的，需提供充分说明；如不能反映申报产品特性的，需增加适宜的指标。</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3.2.1</w:t>
      </w:r>
      <w:r w:rsidRPr="00E22FA3">
        <w:rPr>
          <w:rFonts w:eastAsia="仿宋_GB2312"/>
          <w:color w:val="000000"/>
          <w:sz w:val="32"/>
          <w:szCs w:val="32"/>
        </w:rPr>
        <w:t>产品外观、复水后外观（如适用）、保存液外观（如有）；尺寸（长度、宽度、厚度）及允差（或范围）、其他关键尺寸。必要时，制定结构特性指标（如孔结构）。</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3.2.2</w:t>
      </w:r>
      <w:r w:rsidRPr="00E22FA3">
        <w:rPr>
          <w:rFonts w:eastAsia="仿宋_GB2312"/>
          <w:color w:val="000000"/>
          <w:sz w:val="32"/>
          <w:szCs w:val="32"/>
        </w:rPr>
        <w:t>根据临床需求制定适用的力学性能，如拉伸强度及拉伸伸长率、撕裂强度、缝合强度（适用于临床使用需缝合的产品）、连接</w:t>
      </w:r>
      <w:r w:rsidRPr="00E22FA3">
        <w:rPr>
          <w:rFonts w:eastAsia="仿宋_GB2312"/>
          <w:color w:val="000000"/>
          <w:sz w:val="32"/>
          <w:szCs w:val="32"/>
        </w:rPr>
        <w:t>/</w:t>
      </w:r>
      <w:r w:rsidRPr="00E22FA3">
        <w:rPr>
          <w:rFonts w:eastAsia="仿宋_GB2312"/>
          <w:color w:val="000000"/>
          <w:sz w:val="32"/>
          <w:szCs w:val="32"/>
        </w:rPr>
        <w:t>结合强度（适用于多层复合产品）等。</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3.2.3</w:t>
      </w:r>
      <w:r w:rsidRPr="00E22FA3">
        <w:rPr>
          <w:rFonts w:eastAsia="仿宋_GB2312"/>
          <w:color w:val="000000"/>
          <w:sz w:val="32"/>
          <w:szCs w:val="32"/>
        </w:rPr>
        <w:t>用于角膜创面修复的产品制定透光性能。</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3.2.4</w:t>
      </w:r>
      <w:r w:rsidRPr="00E22FA3">
        <w:rPr>
          <w:rFonts w:eastAsia="仿宋_GB2312"/>
          <w:color w:val="000000"/>
          <w:sz w:val="32"/>
          <w:szCs w:val="32"/>
        </w:rPr>
        <w:t>根据产品组成特征制定材料表征指标，如总蛋白含量、胶原蛋白含量等。</w:t>
      </w:r>
    </w:p>
    <w:p w:rsidR="00F448B0" w:rsidRPr="00E22FA3" w:rsidRDefault="00F448B0" w:rsidP="006370A5">
      <w:pPr>
        <w:spacing w:line="520" w:lineRule="exact"/>
        <w:ind w:firstLineChars="200" w:firstLine="640"/>
        <w:rPr>
          <w:rFonts w:eastAsia="仿宋_GB2312"/>
          <w:color w:val="000000"/>
          <w:sz w:val="32"/>
          <w:szCs w:val="32"/>
          <w:highlight w:val="yellow"/>
        </w:rPr>
      </w:pPr>
      <w:r w:rsidRPr="00E22FA3">
        <w:rPr>
          <w:rFonts w:eastAsia="仿宋_GB2312"/>
          <w:color w:val="000000"/>
          <w:sz w:val="32"/>
          <w:szCs w:val="32"/>
        </w:rPr>
        <w:t>3.2.5</w:t>
      </w:r>
      <w:r w:rsidRPr="00E22FA3">
        <w:rPr>
          <w:rFonts w:eastAsia="仿宋_GB2312"/>
          <w:color w:val="000000"/>
          <w:sz w:val="32"/>
          <w:szCs w:val="32"/>
        </w:rPr>
        <w:t>制定杂质控制相关指标，如重金属总量、有害微量元素、炽灼残渣、加工试剂残留（如交联剂、表面活性剂、脱细胞试剂、灭菌剂、溶剂等）、</w:t>
      </w:r>
      <w:r w:rsidRPr="00E22FA3">
        <w:rPr>
          <w:rFonts w:eastAsia="仿宋_GB2312"/>
          <w:color w:val="000000"/>
          <w:kern w:val="0"/>
          <w:sz w:val="32"/>
          <w:szCs w:val="32"/>
        </w:rPr>
        <w:t>环氧乙烷</w:t>
      </w:r>
      <w:r w:rsidRPr="00E22FA3">
        <w:rPr>
          <w:rFonts w:eastAsia="仿宋_GB2312"/>
          <w:color w:val="000000"/>
          <w:sz w:val="32"/>
          <w:szCs w:val="32"/>
        </w:rPr>
        <w:t>残留（</w:t>
      </w:r>
      <w:r w:rsidRPr="00E22FA3">
        <w:rPr>
          <w:rFonts w:eastAsia="仿宋_GB2312"/>
          <w:color w:val="000000"/>
          <w:kern w:val="0"/>
          <w:sz w:val="32"/>
          <w:szCs w:val="32"/>
        </w:rPr>
        <w:t>适用于环氧乙烷</w:t>
      </w:r>
      <w:r w:rsidRPr="00E22FA3">
        <w:rPr>
          <w:rFonts w:eastAsia="仿宋_GB2312"/>
          <w:color w:val="000000"/>
          <w:sz w:val="32"/>
          <w:szCs w:val="32"/>
        </w:rPr>
        <w:t>灭菌的产品）、有害大分子残留等。</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3.2.6</w:t>
      </w:r>
      <w:r w:rsidRPr="00E22FA3">
        <w:rPr>
          <w:rFonts w:eastAsia="仿宋_GB2312"/>
          <w:color w:val="000000"/>
          <w:sz w:val="32"/>
          <w:szCs w:val="32"/>
        </w:rPr>
        <w:t>采用交联处理的产品制定交联程度指标（如热收缩温度等）。</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3.2.7</w:t>
      </w:r>
      <w:r w:rsidRPr="00E22FA3">
        <w:rPr>
          <w:rFonts w:eastAsia="仿宋_GB2312"/>
          <w:color w:val="000000"/>
          <w:sz w:val="32"/>
          <w:szCs w:val="32"/>
        </w:rPr>
        <w:t>无菌状态提供的产品制定无菌指标。</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3.2.8</w:t>
      </w:r>
      <w:r w:rsidRPr="00E22FA3">
        <w:rPr>
          <w:rFonts w:eastAsia="仿宋_GB2312"/>
          <w:color w:val="000000"/>
          <w:sz w:val="32"/>
          <w:szCs w:val="32"/>
        </w:rPr>
        <w:t>含有保存液的产品制定保存液相关性能。</w:t>
      </w:r>
    </w:p>
    <w:p w:rsidR="00F448B0" w:rsidRPr="00E22FA3" w:rsidRDefault="00F448B0" w:rsidP="006370A5">
      <w:pPr>
        <w:spacing w:line="520" w:lineRule="exact"/>
        <w:ind w:firstLineChars="200" w:firstLine="640"/>
        <w:rPr>
          <w:rFonts w:eastAsia="仿宋_GB2312"/>
          <w:color w:val="000000"/>
          <w:sz w:val="32"/>
          <w:szCs w:val="32"/>
          <w:highlight w:val="yellow"/>
        </w:rPr>
      </w:pPr>
      <w:r w:rsidRPr="00E22FA3">
        <w:rPr>
          <w:rFonts w:eastAsia="仿宋_GB2312"/>
          <w:color w:val="000000"/>
          <w:sz w:val="32"/>
          <w:szCs w:val="32"/>
        </w:rPr>
        <w:t>3.3</w:t>
      </w:r>
      <w:r w:rsidRPr="00E22FA3">
        <w:rPr>
          <w:rFonts w:eastAsia="仿宋_GB2312"/>
          <w:color w:val="000000"/>
          <w:sz w:val="32"/>
          <w:szCs w:val="32"/>
        </w:rPr>
        <w:t>检验样品应为终产品，检验方法应采用标准的试验方法，或经验证的方法。如适用，需在模拟临床使用的条件下检验，如经清洗、复水处理。</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3.4</w:t>
      </w:r>
      <w:r w:rsidRPr="00E22FA3">
        <w:rPr>
          <w:rFonts w:eastAsia="仿宋_GB2312"/>
          <w:color w:val="000000"/>
          <w:sz w:val="32"/>
          <w:szCs w:val="32"/>
        </w:rPr>
        <w:t>在产品技术要求附录中明确材料</w:t>
      </w:r>
      <w:r w:rsidRPr="00E22FA3">
        <w:rPr>
          <w:rFonts w:eastAsia="仿宋_GB2312"/>
          <w:sz w:val="32"/>
          <w:szCs w:val="32"/>
        </w:rPr>
        <w:t>组织来源</w:t>
      </w:r>
      <w:r w:rsidRPr="00E22FA3">
        <w:rPr>
          <w:rFonts w:eastAsia="仿宋_GB2312"/>
          <w:color w:val="000000"/>
          <w:sz w:val="32"/>
          <w:szCs w:val="32"/>
        </w:rPr>
        <w:t>，脱细胞工艺类型（如物理、化学、生物方法等）。如含有保存液或湿态保存，明确保存液配方、湿态保存情况、初包装材料名称。</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3.5</w:t>
      </w:r>
      <w:r w:rsidRPr="00E22FA3">
        <w:rPr>
          <w:rFonts w:eastAsia="仿宋_GB2312"/>
          <w:color w:val="000000"/>
          <w:sz w:val="32"/>
          <w:szCs w:val="32"/>
        </w:rPr>
        <w:t>提供检验报告中检验型号的典型性声明，需结合性能指标及检验方法分析对典型性型号的要求，如不同厚度对性能的影响。</w:t>
      </w:r>
    </w:p>
    <w:p w:rsidR="00F448B0" w:rsidRPr="00E22FA3" w:rsidRDefault="00F448B0" w:rsidP="006370A5">
      <w:pPr>
        <w:spacing w:line="520" w:lineRule="exact"/>
        <w:ind w:firstLineChars="200" w:firstLine="640"/>
        <w:rPr>
          <w:rFonts w:eastAsia="仿宋_GB2312"/>
          <w:bCs/>
          <w:sz w:val="32"/>
          <w:szCs w:val="32"/>
        </w:rPr>
      </w:pPr>
      <w:r w:rsidRPr="00E22FA3">
        <w:rPr>
          <w:rFonts w:eastAsia="仿宋_GB2312"/>
          <w:bCs/>
          <w:sz w:val="32"/>
          <w:szCs w:val="32"/>
        </w:rPr>
        <w:t>4.</w:t>
      </w:r>
      <w:r w:rsidRPr="00E22FA3">
        <w:rPr>
          <w:rFonts w:eastAsia="仿宋_GB2312"/>
          <w:bCs/>
          <w:sz w:val="32"/>
          <w:szCs w:val="32"/>
        </w:rPr>
        <w:t>研究</w:t>
      </w:r>
      <w:r w:rsidRPr="00E22FA3">
        <w:rPr>
          <w:rFonts w:eastAsia="仿宋_GB2312"/>
          <w:color w:val="000000"/>
          <w:sz w:val="32"/>
          <w:szCs w:val="32"/>
        </w:rPr>
        <w:t>资料</w:t>
      </w:r>
    </w:p>
    <w:p w:rsidR="00F448B0" w:rsidRPr="00E22FA3" w:rsidRDefault="00F448B0" w:rsidP="006370A5">
      <w:pPr>
        <w:autoSpaceDE w:val="0"/>
        <w:autoSpaceDN w:val="0"/>
        <w:adjustRightInd w:val="0"/>
        <w:spacing w:line="520" w:lineRule="exact"/>
        <w:ind w:firstLineChars="200" w:firstLine="640"/>
        <w:rPr>
          <w:rFonts w:eastAsia="仿宋_GB2312"/>
          <w:bCs/>
          <w:sz w:val="32"/>
          <w:szCs w:val="32"/>
        </w:rPr>
      </w:pPr>
      <w:r w:rsidRPr="00E22FA3">
        <w:rPr>
          <w:rFonts w:eastAsia="仿宋_GB2312"/>
          <w:bCs/>
          <w:sz w:val="32"/>
          <w:szCs w:val="32"/>
        </w:rPr>
        <w:t>提供非临床研究综述，如已有相关的标准、指导原则发布，提供申报产品对标准、指导原则中各项要求的适用性判定和说明。</w:t>
      </w:r>
    </w:p>
    <w:p w:rsidR="00F448B0" w:rsidRPr="00E22FA3" w:rsidRDefault="00F448B0" w:rsidP="006370A5">
      <w:pPr>
        <w:autoSpaceDE w:val="0"/>
        <w:autoSpaceDN w:val="0"/>
        <w:adjustRightInd w:val="0"/>
        <w:spacing w:line="520" w:lineRule="exact"/>
        <w:ind w:firstLineChars="200" w:firstLine="640"/>
        <w:rPr>
          <w:rFonts w:eastAsia="仿宋_GB2312"/>
          <w:kern w:val="0"/>
          <w:sz w:val="32"/>
          <w:szCs w:val="32"/>
        </w:rPr>
      </w:pPr>
      <w:r w:rsidRPr="00E22FA3">
        <w:rPr>
          <w:rFonts w:eastAsia="仿宋_GB2312"/>
          <w:bCs/>
          <w:sz w:val="32"/>
          <w:szCs w:val="32"/>
        </w:rPr>
        <w:t>结合临床应用及需求描述申报产品研究项目及其充分性。各项</w:t>
      </w:r>
      <w:r w:rsidRPr="00E22FA3">
        <w:rPr>
          <w:rFonts w:eastAsia="仿宋_GB2312"/>
          <w:kern w:val="0"/>
          <w:sz w:val="32"/>
          <w:szCs w:val="32"/>
        </w:rPr>
        <w:t>研究报告宜包含明确的研究目的、研究方法、具体的研究项目列表。采用实验室研究的，宜提供试验样品的具体情况、样品数量及制定依据、检验型号规格的可代表性分析等。</w:t>
      </w:r>
      <w:r w:rsidRPr="00E22FA3">
        <w:rPr>
          <w:rFonts w:eastAsia="仿宋_GB2312"/>
          <w:color w:val="000000"/>
          <w:kern w:val="0"/>
          <w:sz w:val="32"/>
          <w:szCs w:val="32"/>
        </w:rPr>
        <w:t>各项研究选择的产品型号规格、样品的选取位置宜具有典型性，宜考虑不同的尺寸、不同厚度，在同一件产品上还宜考虑不同位置（中心与边缘）、不同致密程度的差异，提供测试位置典型性分析。</w:t>
      </w:r>
      <w:r w:rsidRPr="00E22FA3">
        <w:rPr>
          <w:rFonts w:eastAsia="仿宋_GB2312"/>
          <w:kern w:val="0"/>
          <w:sz w:val="32"/>
          <w:szCs w:val="32"/>
        </w:rPr>
        <w:t>未采用申报产品终产品进行研究验证的，应提供原因及验证样品可代表性分析。</w:t>
      </w:r>
    </w:p>
    <w:p w:rsidR="00F448B0" w:rsidRPr="00E22FA3" w:rsidRDefault="00F448B0" w:rsidP="006370A5">
      <w:pPr>
        <w:spacing w:line="520" w:lineRule="exact"/>
        <w:ind w:firstLineChars="200" w:firstLine="640"/>
        <w:rPr>
          <w:rFonts w:eastAsia="仿宋_GB2312"/>
          <w:bCs/>
          <w:sz w:val="32"/>
          <w:szCs w:val="32"/>
        </w:rPr>
      </w:pPr>
      <w:r w:rsidRPr="00E22FA3">
        <w:rPr>
          <w:rFonts w:eastAsia="仿宋_GB2312"/>
          <w:bCs/>
          <w:sz w:val="32"/>
          <w:szCs w:val="32"/>
        </w:rPr>
        <w:t>4.1</w:t>
      </w:r>
      <w:r w:rsidRPr="00E22FA3">
        <w:rPr>
          <w:rFonts w:eastAsia="仿宋_GB2312"/>
          <w:bCs/>
          <w:sz w:val="32"/>
          <w:szCs w:val="32"/>
        </w:rPr>
        <w:t>性能研究</w:t>
      </w:r>
    </w:p>
    <w:p w:rsidR="00F448B0" w:rsidRPr="00E22FA3" w:rsidRDefault="00F448B0" w:rsidP="006370A5">
      <w:pPr>
        <w:autoSpaceDE w:val="0"/>
        <w:autoSpaceDN w:val="0"/>
        <w:adjustRightInd w:val="0"/>
        <w:spacing w:line="520" w:lineRule="exact"/>
        <w:ind w:firstLineChars="200" w:firstLine="640"/>
        <w:rPr>
          <w:rFonts w:eastAsia="仿宋_GB2312"/>
          <w:color w:val="000000"/>
          <w:kern w:val="0"/>
          <w:sz w:val="32"/>
          <w:szCs w:val="32"/>
        </w:rPr>
      </w:pPr>
      <w:r w:rsidRPr="00E22FA3">
        <w:rPr>
          <w:rFonts w:eastAsia="仿宋_GB2312"/>
          <w:color w:val="000000"/>
          <w:kern w:val="0"/>
          <w:sz w:val="32"/>
          <w:szCs w:val="32"/>
        </w:rPr>
        <w:t>列表提供包含产品技术要求指标在内的物理、化学性能研究项目的选择依据，性能指标及检验方法的确定依据，研究项目的设计输入来源及临床意义。</w:t>
      </w:r>
    </w:p>
    <w:p w:rsidR="00F448B0" w:rsidRPr="00E22FA3" w:rsidRDefault="00F448B0" w:rsidP="006370A5">
      <w:pPr>
        <w:autoSpaceDE w:val="0"/>
        <w:autoSpaceDN w:val="0"/>
        <w:adjustRightInd w:val="0"/>
        <w:spacing w:line="520" w:lineRule="exact"/>
        <w:ind w:firstLineChars="200" w:firstLine="640"/>
        <w:rPr>
          <w:rFonts w:eastAsia="仿宋_GB2312"/>
          <w:color w:val="000000"/>
          <w:kern w:val="0"/>
          <w:sz w:val="32"/>
          <w:szCs w:val="32"/>
        </w:rPr>
      </w:pPr>
      <w:r w:rsidRPr="00E22FA3">
        <w:rPr>
          <w:rFonts w:eastAsia="仿宋_GB2312"/>
          <w:color w:val="000000"/>
          <w:kern w:val="0"/>
          <w:sz w:val="32"/>
          <w:szCs w:val="32"/>
        </w:rPr>
        <w:t>研究项目与相关标准、指导原则中要求项目不一致的应予以说明和分析。物理、化学性能指标的确定依据可以是相关标准、指导原则、医学共识、公开发表的文献、同类产品公开信息，宜同时提供以上资料的充分性分析；采用对比已上市同类产品验证数据的方式，宜关注验证方法对同类产品的适宜性，同类产品验证样品数量的充分性。</w:t>
      </w:r>
      <w:r w:rsidRPr="00E22FA3">
        <w:rPr>
          <w:rFonts w:eastAsia="仿宋_GB2312"/>
          <w:kern w:val="0"/>
          <w:sz w:val="32"/>
          <w:szCs w:val="32"/>
        </w:rPr>
        <w:t>定量的物理、化学指标宜与申报产品的验证数据具有一致性。</w:t>
      </w:r>
      <w:r w:rsidRPr="00E22FA3">
        <w:rPr>
          <w:rFonts w:eastAsia="仿宋_GB2312"/>
          <w:color w:val="000000"/>
          <w:kern w:val="0"/>
          <w:sz w:val="32"/>
          <w:szCs w:val="32"/>
        </w:rPr>
        <w:t>产品的检验方法宜使用标准方法，尚无标准方法的，宜提供自定方法的验证过程和研究报告。</w:t>
      </w:r>
    </w:p>
    <w:p w:rsidR="00F448B0" w:rsidRPr="00E22FA3" w:rsidRDefault="00F448B0" w:rsidP="006370A5">
      <w:pPr>
        <w:spacing w:line="520" w:lineRule="exact"/>
        <w:ind w:firstLineChars="200" w:firstLine="640"/>
        <w:rPr>
          <w:rFonts w:eastAsia="仿宋_GB2312"/>
          <w:bCs/>
          <w:sz w:val="32"/>
          <w:szCs w:val="32"/>
        </w:rPr>
      </w:pPr>
      <w:r w:rsidRPr="00E22FA3">
        <w:rPr>
          <w:rFonts w:eastAsia="仿宋_GB2312"/>
          <w:bCs/>
          <w:sz w:val="32"/>
          <w:szCs w:val="32"/>
        </w:rPr>
        <w:t>4.1.1</w:t>
      </w:r>
      <w:r w:rsidRPr="00E22FA3">
        <w:rPr>
          <w:rFonts w:eastAsia="仿宋_GB2312"/>
          <w:color w:val="000000"/>
          <w:sz w:val="32"/>
          <w:szCs w:val="32"/>
        </w:rPr>
        <w:t>物理性能研究</w:t>
      </w:r>
    </w:p>
    <w:p w:rsidR="00F448B0" w:rsidRPr="00E22FA3" w:rsidRDefault="00F448B0" w:rsidP="006370A5">
      <w:pPr>
        <w:autoSpaceDE w:val="0"/>
        <w:autoSpaceDN w:val="0"/>
        <w:adjustRightInd w:val="0"/>
        <w:spacing w:line="520" w:lineRule="exact"/>
        <w:ind w:firstLineChars="200" w:firstLine="640"/>
        <w:rPr>
          <w:rFonts w:eastAsia="仿宋_GB2312"/>
          <w:bCs/>
          <w:sz w:val="32"/>
          <w:szCs w:val="32"/>
        </w:rPr>
      </w:pPr>
      <w:r w:rsidRPr="00E22FA3">
        <w:rPr>
          <w:rFonts w:eastAsia="仿宋_GB2312"/>
          <w:bCs/>
          <w:sz w:val="32"/>
          <w:szCs w:val="32"/>
        </w:rPr>
        <w:t>4.1.1.1</w:t>
      </w:r>
      <w:r w:rsidRPr="00E22FA3">
        <w:rPr>
          <w:rFonts w:eastAsia="仿宋_GB2312"/>
          <w:bCs/>
          <w:sz w:val="32"/>
          <w:szCs w:val="32"/>
        </w:rPr>
        <w:t>提供产品的脱细胞效果及组织结构研究资料，</w:t>
      </w:r>
      <w:r w:rsidRPr="00E22FA3">
        <w:rPr>
          <w:rFonts w:eastAsia="仿宋_GB2312"/>
          <w:color w:val="000000"/>
          <w:sz w:val="32"/>
          <w:szCs w:val="32"/>
        </w:rPr>
        <w:t>宜通过与原细胞外基质进行对比的方式，联合组织学分析、电子显微镜、显微</w:t>
      </w:r>
      <w:r w:rsidRPr="00E22FA3">
        <w:rPr>
          <w:rFonts w:eastAsia="仿宋_GB2312"/>
          <w:color w:val="000000"/>
          <w:sz w:val="32"/>
          <w:szCs w:val="32"/>
        </w:rPr>
        <w:t>CT(Micro CT)</w:t>
      </w:r>
      <w:r w:rsidRPr="00E22FA3">
        <w:rPr>
          <w:rFonts w:eastAsia="仿宋_GB2312"/>
          <w:color w:val="000000"/>
          <w:sz w:val="32"/>
          <w:szCs w:val="32"/>
        </w:rPr>
        <w:t>等多种方法进行评价，观察项目包含残留细胞、细胞核及细胞碎片的数量，组成成分定性及分布，胶原蛋白纤维排列、分离、断裂情况，形成的孔隙形态、尺寸大小、连通情况等。</w:t>
      </w:r>
    </w:p>
    <w:p w:rsidR="00F448B0" w:rsidRPr="00E22FA3" w:rsidRDefault="00F448B0" w:rsidP="006370A5">
      <w:pPr>
        <w:autoSpaceDE w:val="0"/>
        <w:autoSpaceDN w:val="0"/>
        <w:adjustRightInd w:val="0"/>
        <w:spacing w:line="520" w:lineRule="exact"/>
        <w:ind w:firstLineChars="200" w:firstLine="640"/>
        <w:rPr>
          <w:rFonts w:eastAsia="仿宋_GB2312"/>
          <w:color w:val="000000"/>
          <w:sz w:val="32"/>
          <w:szCs w:val="32"/>
        </w:rPr>
      </w:pPr>
      <w:r w:rsidRPr="00E22FA3">
        <w:rPr>
          <w:rFonts w:eastAsia="仿宋_GB2312"/>
          <w:color w:val="000000"/>
          <w:sz w:val="32"/>
          <w:szCs w:val="32"/>
        </w:rPr>
        <w:t>4.1.1.2</w:t>
      </w:r>
      <w:r w:rsidRPr="00E22FA3">
        <w:rPr>
          <w:rFonts w:eastAsia="仿宋_GB2312"/>
          <w:color w:val="000000"/>
          <w:sz w:val="32"/>
          <w:szCs w:val="32"/>
        </w:rPr>
        <w:t>结合产品设计，提供产品孔结构的研究资料，如孔隙率等。</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4.1.1.3</w:t>
      </w:r>
      <w:r w:rsidRPr="00E22FA3">
        <w:rPr>
          <w:rFonts w:eastAsia="仿宋_GB2312"/>
          <w:color w:val="000000"/>
          <w:sz w:val="32"/>
          <w:szCs w:val="32"/>
        </w:rPr>
        <w:t>提供产品外观、尺寸的验证资料，宜关注厚度在批次内、批次间的一致性。</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4.1.1.4</w:t>
      </w:r>
      <w:r w:rsidRPr="00E22FA3">
        <w:rPr>
          <w:rFonts w:eastAsia="仿宋_GB2312"/>
          <w:color w:val="000000"/>
          <w:sz w:val="32"/>
          <w:szCs w:val="32"/>
        </w:rPr>
        <w:t>提供产品的力学性能研究，包括拉伸强度及拉伸伸长率、缝合强度、撕裂强度、连接</w:t>
      </w:r>
      <w:r w:rsidRPr="00E22FA3">
        <w:rPr>
          <w:rFonts w:eastAsia="仿宋_GB2312"/>
          <w:color w:val="000000"/>
          <w:sz w:val="32"/>
          <w:szCs w:val="32"/>
        </w:rPr>
        <w:t>/</w:t>
      </w:r>
      <w:r w:rsidRPr="00E22FA3">
        <w:rPr>
          <w:rFonts w:eastAsia="仿宋_GB2312"/>
          <w:color w:val="000000"/>
          <w:sz w:val="32"/>
          <w:szCs w:val="32"/>
        </w:rPr>
        <w:t>结合强度等，不适用的项目提供理由。</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若由于产品不均一性导致力学性能指标的范围过大，宜进行针对性的完善，如不同方向上力学性能不同的需分别进行研究；或根据厚度的不同制定差异化的力学性能指标等。用于皮肤创面修复的产品，若适用，其力学性能宜与皮肤组织具有类似的弹性和延展性、抗压缩性能，制定指标并研究。</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4.1.1.5</w:t>
      </w:r>
      <w:r w:rsidRPr="00E22FA3">
        <w:rPr>
          <w:rFonts w:eastAsia="仿宋_GB2312"/>
          <w:color w:val="000000"/>
          <w:sz w:val="32"/>
          <w:szCs w:val="32"/>
        </w:rPr>
        <w:t>提供产品的热稳定性研究。不同胶原蛋白类型、胶原蛋白的变性及交联会导致热稳定性的变化，根据产品特性制定相关的指标，如热收缩温度和</w:t>
      </w:r>
      <w:r w:rsidRPr="00E22FA3">
        <w:rPr>
          <w:rFonts w:eastAsia="仿宋_GB2312"/>
          <w:color w:val="000000"/>
          <w:sz w:val="32"/>
          <w:szCs w:val="32"/>
        </w:rPr>
        <w:t>/</w:t>
      </w:r>
      <w:r w:rsidRPr="00E22FA3">
        <w:rPr>
          <w:rFonts w:eastAsia="仿宋_GB2312"/>
          <w:color w:val="000000"/>
          <w:sz w:val="32"/>
          <w:szCs w:val="32"/>
        </w:rPr>
        <w:t>或热变性温度等。</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4.1.1.6</w:t>
      </w:r>
      <w:r w:rsidRPr="00E22FA3">
        <w:rPr>
          <w:rFonts w:eastAsia="仿宋_GB2312"/>
          <w:sz w:val="32"/>
          <w:szCs w:val="32"/>
        </w:rPr>
        <w:t>采用交联处理的产品，提供交联程度、交联均一性的研究资料。</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4.1.1.7</w:t>
      </w:r>
      <w:r w:rsidRPr="00E22FA3">
        <w:rPr>
          <w:rFonts w:eastAsia="仿宋_GB2312"/>
          <w:color w:val="000000"/>
          <w:sz w:val="32"/>
          <w:szCs w:val="32"/>
        </w:rPr>
        <w:t>用于角膜创面修复的产品，提供透光性能研究资料。</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4.1.1.8</w:t>
      </w:r>
      <w:r w:rsidRPr="00E22FA3">
        <w:rPr>
          <w:rFonts w:eastAsia="仿宋_GB2312"/>
          <w:color w:val="000000"/>
          <w:sz w:val="32"/>
          <w:szCs w:val="32"/>
        </w:rPr>
        <w:t>如产品临床使用前需进行清洗、复水处理，宜提交操作方法对产品结构及性能的影响的研究资料。</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4.1.2</w:t>
      </w:r>
      <w:r w:rsidRPr="00E22FA3">
        <w:rPr>
          <w:rFonts w:eastAsia="仿宋_GB2312"/>
          <w:color w:val="000000"/>
          <w:sz w:val="32"/>
          <w:szCs w:val="32"/>
        </w:rPr>
        <w:t>化学表征及性能研究</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sz w:val="32"/>
          <w:szCs w:val="32"/>
        </w:rPr>
        <w:t>提供</w:t>
      </w:r>
      <w:r w:rsidRPr="00E22FA3">
        <w:rPr>
          <w:rFonts w:eastAsia="仿宋_GB2312"/>
          <w:bCs/>
          <w:sz w:val="32"/>
          <w:szCs w:val="32"/>
        </w:rPr>
        <w:t>产品主要成分及含量的研究资料</w:t>
      </w:r>
      <w:r w:rsidRPr="00E22FA3">
        <w:rPr>
          <w:rFonts w:eastAsia="仿宋_GB2312"/>
          <w:sz w:val="32"/>
          <w:szCs w:val="32"/>
        </w:rPr>
        <w:t>，如</w:t>
      </w:r>
      <w:r w:rsidRPr="00E22FA3">
        <w:rPr>
          <w:rFonts w:eastAsia="仿宋_GB2312"/>
          <w:color w:val="000000"/>
          <w:sz w:val="32"/>
          <w:szCs w:val="32"/>
        </w:rPr>
        <w:t>总蛋白含量、胶原蛋白类型及含量、总糖、糖胺聚糖等。适用时，对产品中预期存在的其他组成成分进行识别和检验，必要时提供其定性定量验证报告。如含有保存液，宜对保存液相关指标进行验证。</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对产品中非预期成分的残留（如脂肪残留、细胞成分残留等）进行研究，必要时制定质量控制指标。</w:t>
      </w:r>
    </w:p>
    <w:p w:rsidR="00F448B0" w:rsidRPr="00E22FA3" w:rsidRDefault="00F448B0" w:rsidP="006370A5">
      <w:pPr>
        <w:autoSpaceDE w:val="0"/>
        <w:autoSpaceDN w:val="0"/>
        <w:adjustRightInd w:val="0"/>
        <w:spacing w:line="520" w:lineRule="exact"/>
        <w:ind w:firstLineChars="200" w:firstLine="640"/>
        <w:rPr>
          <w:rFonts w:eastAsia="仿宋_GB2312"/>
          <w:kern w:val="0"/>
          <w:sz w:val="32"/>
          <w:szCs w:val="32"/>
        </w:rPr>
      </w:pPr>
      <w:r w:rsidRPr="00E22FA3">
        <w:rPr>
          <w:rFonts w:eastAsia="仿宋_GB2312"/>
          <w:color w:val="000000"/>
          <w:sz w:val="32"/>
          <w:szCs w:val="32"/>
        </w:rPr>
        <w:t>对原材料收集、生产过程中引入并可能残留在产品中的各类添加剂（包括并不限于消毒剂、脱细胞试剂、交联剂、化学灭菌剂、溶剂、加工助剂等）、添加剂中的杂质以及生产过程产生的副产物和降解产物等进行梳理，经风险分析认为必要的，制定检验方法和可接受限量，提供方法学验</w:t>
      </w:r>
      <w:r w:rsidRPr="00E22FA3">
        <w:rPr>
          <w:rFonts w:eastAsia="仿宋_GB2312"/>
          <w:kern w:val="0"/>
          <w:sz w:val="32"/>
          <w:szCs w:val="32"/>
        </w:rPr>
        <w:t>证报告，提供可接受限量的制定依据和安全性分析。</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4.1.3</w:t>
      </w:r>
      <w:r w:rsidRPr="00E22FA3">
        <w:rPr>
          <w:rFonts w:eastAsia="仿宋_GB2312"/>
          <w:color w:val="000000"/>
          <w:sz w:val="32"/>
          <w:szCs w:val="32"/>
        </w:rPr>
        <w:t>降解研究</w:t>
      </w:r>
    </w:p>
    <w:p w:rsidR="00F448B0" w:rsidRPr="00E22FA3" w:rsidRDefault="00F448B0" w:rsidP="006370A5">
      <w:pPr>
        <w:spacing w:line="520" w:lineRule="exact"/>
        <w:ind w:firstLineChars="200" w:firstLine="640"/>
        <w:rPr>
          <w:rFonts w:eastAsia="仿宋_GB2312"/>
          <w:sz w:val="32"/>
          <w:szCs w:val="32"/>
        </w:rPr>
      </w:pPr>
      <w:r w:rsidRPr="00E22FA3">
        <w:rPr>
          <w:rFonts w:eastAsia="仿宋_GB2312"/>
          <w:color w:val="000000"/>
          <w:sz w:val="32"/>
          <w:szCs w:val="32"/>
        </w:rPr>
        <w:t>提供体外降解研究资料。体外降解试验条件宜模拟产品的临床使用环境，研究降解产物、降解时间、产品性能的变化。对于适宜的指标可考虑采用加速降解的方式。如使用体外降解的数据评估体内降解特性时，需提供合理性说明。</w:t>
      </w:r>
    </w:p>
    <w:p w:rsidR="00F448B0" w:rsidRPr="00E22FA3" w:rsidRDefault="00F448B0" w:rsidP="006370A5">
      <w:pPr>
        <w:spacing w:line="520" w:lineRule="exact"/>
        <w:ind w:firstLineChars="200" w:firstLine="640"/>
        <w:rPr>
          <w:rFonts w:eastAsia="仿宋_GB2312"/>
          <w:sz w:val="32"/>
          <w:szCs w:val="32"/>
        </w:rPr>
      </w:pPr>
      <w:r w:rsidRPr="00E22FA3">
        <w:rPr>
          <w:rFonts w:eastAsia="仿宋_GB2312"/>
          <w:color w:val="000000"/>
          <w:sz w:val="32"/>
          <w:szCs w:val="32"/>
        </w:rPr>
        <w:t>宜</w:t>
      </w:r>
      <w:r w:rsidRPr="00E22FA3">
        <w:rPr>
          <w:rFonts w:eastAsia="仿宋_GB2312"/>
          <w:sz w:val="32"/>
          <w:szCs w:val="32"/>
        </w:rPr>
        <w:t>提供产品在预期使用部位的降解规律、降解周期、降解速率、降解过程中性能的变化、降解产物的代谢的文献或研究资料。</w:t>
      </w:r>
    </w:p>
    <w:p w:rsidR="00F448B0" w:rsidRPr="00E22FA3" w:rsidRDefault="00F448B0" w:rsidP="006370A5">
      <w:pPr>
        <w:spacing w:line="520" w:lineRule="exact"/>
        <w:ind w:firstLineChars="200" w:firstLine="640"/>
        <w:rPr>
          <w:rFonts w:eastAsia="仿宋_GB2312"/>
          <w:sz w:val="32"/>
          <w:szCs w:val="32"/>
        </w:rPr>
      </w:pPr>
      <w:r w:rsidRPr="00E22FA3">
        <w:rPr>
          <w:rFonts w:eastAsia="仿宋_GB2312"/>
          <w:sz w:val="32"/>
          <w:szCs w:val="32"/>
        </w:rPr>
        <w:t>采用交联工艺处理的并预期可降解的产品，宜关注交联部分的降解产物。</w:t>
      </w:r>
    </w:p>
    <w:p w:rsidR="00F448B0" w:rsidRPr="00E22FA3" w:rsidRDefault="00F448B0" w:rsidP="006370A5">
      <w:pPr>
        <w:spacing w:line="520" w:lineRule="exact"/>
        <w:ind w:firstLineChars="200" w:firstLine="640"/>
        <w:rPr>
          <w:rFonts w:eastAsia="仿宋_GB2312"/>
          <w:bCs/>
          <w:sz w:val="32"/>
          <w:szCs w:val="32"/>
        </w:rPr>
      </w:pPr>
      <w:r w:rsidRPr="00E22FA3">
        <w:rPr>
          <w:rFonts w:eastAsia="仿宋_GB2312"/>
          <w:bCs/>
          <w:sz w:val="32"/>
          <w:szCs w:val="32"/>
        </w:rPr>
        <w:t>4.2</w:t>
      </w:r>
      <w:r w:rsidRPr="00E22FA3">
        <w:rPr>
          <w:rFonts w:eastAsia="仿宋_GB2312"/>
          <w:bCs/>
          <w:sz w:val="32"/>
          <w:szCs w:val="32"/>
        </w:rPr>
        <w:t>生物学评价</w:t>
      </w:r>
    </w:p>
    <w:p w:rsidR="00F448B0" w:rsidRPr="00E22FA3" w:rsidRDefault="00F448B0" w:rsidP="006370A5">
      <w:pPr>
        <w:spacing w:line="520" w:lineRule="exact"/>
        <w:ind w:firstLineChars="200" w:firstLine="640"/>
        <w:rPr>
          <w:rFonts w:eastAsia="仿宋_GB2312"/>
          <w:sz w:val="32"/>
          <w:szCs w:val="32"/>
        </w:rPr>
      </w:pPr>
      <w:r w:rsidRPr="00E22FA3">
        <w:rPr>
          <w:rFonts w:eastAsia="仿宋_GB2312"/>
          <w:sz w:val="32"/>
          <w:szCs w:val="32"/>
        </w:rPr>
        <w:t>此类产品属于与损伤表面及组织持久接触的医疗器械，申请人宜按照</w:t>
      </w:r>
      <w:r w:rsidRPr="00E22FA3">
        <w:rPr>
          <w:rFonts w:eastAsia="仿宋_GB2312"/>
          <w:color w:val="000000"/>
          <w:sz w:val="32"/>
          <w:szCs w:val="32"/>
        </w:rPr>
        <w:t>GB/T 16886.1</w:t>
      </w:r>
      <w:r w:rsidRPr="00E22FA3">
        <w:rPr>
          <w:rFonts w:eastAsia="仿宋_GB2312"/>
          <w:sz w:val="32"/>
          <w:szCs w:val="32"/>
        </w:rPr>
        <w:t>给出的评价流程图进行评价，标示采用的路径，描述产品所用原材料及所有添加剂、加工助剂的成分信息。</w:t>
      </w:r>
    </w:p>
    <w:p w:rsidR="00F448B0" w:rsidRPr="00E22FA3" w:rsidRDefault="00F448B0" w:rsidP="006370A5">
      <w:pPr>
        <w:spacing w:line="520" w:lineRule="exact"/>
        <w:ind w:firstLineChars="200" w:firstLine="640"/>
        <w:rPr>
          <w:rFonts w:eastAsia="仿宋_GB2312"/>
          <w:sz w:val="32"/>
          <w:szCs w:val="32"/>
        </w:rPr>
      </w:pPr>
      <w:r w:rsidRPr="00E22FA3">
        <w:rPr>
          <w:rFonts w:eastAsia="仿宋_GB2312"/>
          <w:sz w:val="32"/>
          <w:szCs w:val="32"/>
        </w:rPr>
        <w:t>根据</w:t>
      </w:r>
      <w:r w:rsidRPr="00E22FA3">
        <w:rPr>
          <w:rFonts w:eastAsia="仿宋_GB2312"/>
          <w:color w:val="000000"/>
          <w:sz w:val="32"/>
          <w:szCs w:val="32"/>
        </w:rPr>
        <w:t>GB/T 16886.1</w:t>
      </w:r>
      <w:r w:rsidRPr="00E22FA3">
        <w:rPr>
          <w:rFonts w:eastAsia="仿宋_GB2312"/>
          <w:sz w:val="32"/>
          <w:szCs w:val="32"/>
        </w:rPr>
        <w:t>，宜考虑的生物学评价终点包括细胞毒性、致敏反应、刺激或皮内反应、材料介导的致热性、急性全身毒性、亚急性全身毒性、亚慢性全身毒性、慢性全身毒性、植入反应、遗传毒性试验、致癌性。其中致癌性、慢性全身毒性可综合申报产品组成材料（包括可能残留的加工助剂）的境内外上市后临床应用情况进行评价。</w:t>
      </w:r>
    </w:p>
    <w:p w:rsidR="00F448B0" w:rsidRPr="00E22FA3" w:rsidRDefault="00F448B0" w:rsidP="006370A5">
      <w:pPr>
        <w:spacing w:line="520" w:lineRule="exact"/>
        <w:ind w:firstLineChars="200" w:firstLine="640"/>
        <w:rPr>
          <w:rFonts w:eastAsia="仿宋_GB2312"/>
          <w:bCs/>
          <w:sz w:val="32"/>
          <w:szCs w:val="32"/>
        </w:rPr>
      </w:pPr>
      <w:r w:rsidRPr="00E22FA3">
        <w:rPr>
          <w:rFonts w:eastAsia="仿宋_GB2312"/>
          <w:bCs/>
          <w:sz w:val="32"/>
          <w:szCs w:val="32"/>
        </w:rPr>
        <w:t>4.3</w:t>
      </w:r>
      <w:r w:rsidRPr="00E22FA3">
        <w:rPr>
          <w:rFonts w:eastAsia="仿宋_GB2312"/>
          <w:color w:val="000000"/>
          <w:sz w:val="32"/>
          <w:szCs w:val="32"/>
        </w:rPr>
        <w:t>细菌内毒素</w:t>
      </w:r>
      <w:r w:rsidRPr="00E22FA3">
        <w:rPr>
          <w:rFonts w:eastAsia="仿宋_GB2312"/>
          <w:bCs/>
          <w:sz w:val="32"/>
          <w:szCs w:val="32"/>
        </w:rPr>
        <w:t>残留</w:t>
      </w:r>
    </w:p>
    <w:p w:rsidR="00F448B0" w:rsidRPr="00E22FA3" w:rsidRDefault="00F448B0" w:rsidP="006370A5">
      <w:pPr>
        <w:spacing w:line="520" w:lineRule="exact"/>
        <w:ind w:firstLineChars="200" w:firstLine="640"/>
        <w:rPr>
          <w:rFonts w:eastAsia="仿宋_GB2312"/>
          <w:sz w:val="32"/>
          <w:szCs w:val="32"/>
        </w:rPr>
      </w:pPr>
      <w:r w:rsidRPr="00E22FA3">
        <w:rPr>
          <w:rFonts w:eastAsia="仿宋_GB2312"/>
          <w:sz w:val="32"/>
          <w:szCs w:val="32"/>
        </w:rPr>
        <w:t>阐述申请人控制产品细菌内毒素残留的措施，制定细菌内毒素残留限量指标，提供限量指标的制定依据和验证报告。</w:t>
      </w:r>
    </w:p>
    <w:p w:rsidR="00F448B0" w:rsidRPr="00E22FA3" w:rsidRDefault="00F448B0" w:rsidP="006370A5">
      <w:pPr>
        <w:spacing w:line="520" w:lineRule="exact"/>
        <w:ind w:firstLineChars="200" w:firstLine="640"/>
        <w:rPr>
          <w:rFonts w:eastAsia="仿宋_GB2312"/>
          <w:bCs/>
          <w:sz w:val="32"/>
          <w:szCs w:val="32"/>
        </w:rPr>
      </w:pPr>
      <w:r w:rsidRPr="00E22FA3">
        <w:rPr>
          <w:rFonts w:eastAsia="仿宋_GB2312"/>
          <w:bCs/>
          <w:sz w:val="32"/>
          <w:szCs w:val="32"/>
        </w:rPr>
        <w:t>4.4</w:t>
      </w:r>
      <w:r w:rsidRPr="00E22FA3">
        <w:rPr>
          <w:rFonts w:eastAsia="仿宋_GB2312"/>
          <w:bCs/>
          <w:sz w:val="32"/>
          <w:szCs w:val="32"/>
        </w:rPr>
        <w:t>生物源材料的安全性研究</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提供原材料的来源、获取、加工、保存、测试和处理过程的总结文件，并按照以下要求提供资料。</w:t>
      </w:r>
    </w:p>
    <w:p w:rsidR="00F448B0" w:rsidRPr="00E22FA3" w:rsidRDefault="00F448B0" w:rsidP="006370A5">
      <w:pPr>
        <w:spacing w:line="520" w:lineRule="exact"/>
        <w:ind w:firstLineChars="200" w:firstLine="640"/>
        <w:rPr>
          <w:rFonts w:eastAsia="仿宋_GB2312"/>
          <w:bCs/>
          <w:sz w:val="32"/>
          <w:szCs w:val="32"/>
        </w:rPr>
      </w:pPr>
      <w:r w:rsidRPr="00E22FA3">
        <w:rPr>
          <w:rFonts w:eastAsia="仿宋_GB2312"/>
          <w:bCs/>
          <w:sz w:val="32"/>
          <w:szCs w:val="32"/>
        </w:rPr>
        <w:t>4.4.1</w:t>
      </w:r>
      <w:r w:rsidRPr="00E22FA3">
        <w:rPr>
          <w:rFonts w:eastAsia="仿宋_GB2312"/>
          <w:bCs/>
          <w:sz w:val="32"/>
          <w:szCs w:val="32"/>
        </w:rPr>
        <w:t>病毒和</w:t>
      </w:r>
      <w:r w:rsidRPr="00E22FA3">
        <w:rPr>
          <w:rFonts w:eastAsia="仿宋_GB2312"/>
          <w:bCs/>
          <w:sz w:val="32"/>
          <w:szCs w:val="32"/>
        </w:rPr>
        <w:t>/</w:t>
      </w:r>
      <w:r w:rsidRPr="00E22FA3">
        <w:rPr>
          <w:rFonts w:eastAsia="仿宋_GB2312"/>
          <w:bCs/>
          <w:sz w:val="32"/>
          <w:szCs w:val="32"/>
        </w:rPr>
        <w:t>或传染性因子灭活和去除的评价和研究</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阐述原材料来源，说明生产过程中灭活和去除病毒和</w:t>
      </w:r>
      <w:r w:rsidRPr="00E22FA3">
        <w:rPr>
          <w:rFonts w:eastAsia="仿宋_GB2312"/>
          <w:color w:val="000000"/>
          <w:sz w:val="32"/>
          <w:szCs w:val="32"/>
        </w:rPr>
        <w:t>/</w:t>
      </w:r>
      <w:r w:rsidRPr="00E22FA3">
        <w:rPr>
          <w:rFonts w:eastAsia="仿宋_GB2312"/>
          <w:color w:val="000000"/>
          <w:sz w:val="32"/>
          <w:szCs w:val="32"/>
        </w:rPr>
        <w:t>或传染性因子的工艺过程。</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动物源性来源的产品，按照</w:t>
      </w:r>
      <w:r w:rsidRPr="00E22FA3">
        <w:rPr>
          <w:rFonts w:eastAsia="仿宋_GB2312"/>
          <w:color w:val="000000"/>
          <w:sz w:val="32"/>
          <w:szCs w:val="32"/>
        </w:rPr>
        <w:t>YY/T 0771</w:t>
      </w:r>
      <w:r w:rsidRPr="00E22FA3">
        <w:rPr>
          <w:rFonts w:eastAsia="仿宋_GB2312"/>
          <w:color w:val="000000"/>
          <w:sz w:val="32"/>
          <w:szCs w:val="32"/>
        </w:rPr>
        <w:t>动物源医疗器械系列标准、《动物源性医疗器械注册技术审查指导原则》，提供从源头和工艺过程两方面控制病毒</w:t>
      </w:r>
      <w:r w:rsidRPr="00E22FA3">
        <w:rPr>
          <w:rFonts w:eastAsia="仿宋_GB2312"/>
          <w:bCs/>
          <w:sz w:val="32"/>
          <w:szCs w:val="32"/>
        </w:rPr>
        <w:t>和</w:t>
      </w:r>
      <w:r w:rsidRPr="00E22FA3">
        <w:rPr>
          <w:rFonts w:eastAsia="仿宋_GB2312"/>
          <w:bCs/>
          <w:sz w:val="32"/>
          <w:szCs w:val="32"/>
        </w:rPr>
        <w:t>/</w:t>
      </w:r>
      <w:r w:rsidRPr="00E22FA3">
        <w:rPr>
          <w:rFonts w:eastAsia="仿宋_GB2312"/>
          <w:bCs/>
          <w:sz w:val="32"/>
          <w:szCs w:val="32"/>
        </w:rPr>
        <w:t>或</w:t>
      </w:r>
      <w:r w:rsidRPr="00E22FA3">
        <w:rPr>
          <w:rFonts w:eastAsia="仿宋_GB2312"/>
          <w:color w:val="000000"/>
          <w:sz w:val="32"/>
          <w:szCs w:val="32"/>
        </w:rPr>
        <w:t>传染性因子的分析报告，包括并不限于饲养、运输、</w:t>
      </w:r>
      <w:r w:rsidRPr="00E22FA3">
        <w:rPr>
          <w:rFonts w:eastAsia="仿宋_GB2312"/>
          <w:sz w:val="32"/>
          <w:szCs w:val="32"/>
        </w:rPr>
        <w:t>屠宰，</w:t>
      </w:r>
      <w:r w:rsidRPr="00E22FA3">
        <w:rPr>
          <w:rFonts w:eastAsia="仿宋_GB2312"/>
          <w:color w:val="000000"/>
          <w:sz w:val="32"/>
          <w:szCs w:val="32"/>
        </w:rPr>
        <w:t>取材、加工处理、使用过程等环节，提供各环节的控制措施。对于原材料应用比较成熟，且灭活工艺相对成熟的产品，申请人可采用文献或历史数据对病毒灭活效果进行评价。如上述资料不充分，宜按照《动物源性医疗器械注册技术审查指导原则》最新修订版的要求，提供病毒灭活</w:t>
      </w:r>
      <w:r w:rsidRPr="00E22FA3">
        <w:rPr>
          <w:rFonts w:eastAsia="仿宋_GB2312"/>
          <w:color w:val="000000"/>
          <w:sz w:val="32"/>
          <w:szCs w:val="32"/>
        </w:rPr>
        <w:t>/</w:t>
      </w:r>
      <w:r w:rsidRPr="00E22FA3">
        <w:rPr>
          <w:rFonts w:eastAsia="仿宋_GB2312"/>
          <w:color w:val="000000"/>
          <w:sz w:val="32"/>
          <w:szCs w:val="32"/>
        </w:rPr>
        <w:t>去除有效性验证报告。</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针对牛、羊来源产品可能的传染性海绵状脑病风险，参考《关于含有牛、羊源性材料医疗器械注册有关事宜的公告》、</w:t>
      </w:r>
      <w:r w:rsidRPr="00E22FA3">
        <w:rPr>
          <w:rFonts w:eastAsia="仿宋_GB2312"/>
          <w:color w:val="000000"/>
          <w:sz w:val="32"/>
          <w:szCs w:val="32"/>
        </w:rPr>
        <w:t>YY/T 0771.3</w:t>
      </w:r>
      <w:r w:rsidRPr="00E22FA3">
        <w:rPr>
          <w:rFonts w:eastAsia="仿宋_GB2312"/>
          <w:color w:val="000000"/>
          <w:sz w:val="32"/>
          <w:szCs w:val="32"/>
        </w:rPr>
        <w:t>、</w:t>
      </w:r>
      <w:r w:rsidRPr="00E22FA3">
        <w:rPr>
          <w:rFonts w:eastAsia="仿宋_GB2312"/>
          <w:color w:val="000000"/>
          <w:sz w:val="32"/>
          <w:szCs w:val="32"/>
        </w:rPr>
        <w:t>YY/T 0771.4</w:t>
      </w:r>
      <w:r w:rsidRPr="00E22FA3">
        <w:rPr>
          <w:rFonts w:eastAsia="仿宋_GB2312"/>
          <w:color w:val="000000"/>
          <w:sz w:val="32"/>
          <w:szCs w:val="32"/>
        </w:rPr>
        <w:t>，提供评估报告及支持性资料。</w:t>
      </w:r>
    </w:p>
    <w:p w:rsidR="00F448B0" w:rsidRPr="00E22FA3" w:rsidRDefault="00F448B0" w:rsidP="006370A5">
      <w:pPr>
        <w:spacing w:line="520" w:lineRule="exact"/>
        <w:ind w:firstLineChars="200" w:firstLine="640"/>
        <w:rPr>
          <w:rFonts w:eastAsia="仿宋_GB2312"/>
          <w:bCs/>
          <w:sz w:val="32"/>
          <w:szCs w:val="32"/>
        </w:rPr>
      </w:pPr>
      <w:r w:rsidRPr="00E22FA3">
        <w:rPr>
          <w:rFonts w:eastAsia="仿宋_GB2312"/>
          <w:bCs/>
          <w:sz w:val="32"/>
          <w:szCs w:val="32"/>
        </w:rPr>
        <w:t>4.4.2</w:t>
      </w:r>
      <w:r w:rsidRPr="00E22FA3">
        <w:rPr>
          <w:rFonts w:eastAsia="仿宋_GB2312"/>
          <w:color w:val="000000"/>
          <w:sz w:val="32"/>
          <w:szCs w:val="32"/>
        </w:rPr>
        <w:t>免疫原性</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免疫原性评价资料一般包含免疫原性毒理学</w:t>
      </w:r>
      <w:r w:rsidRPr="00E22FA3">
        <w:rPr>
          <w:rFonts w:eastAsia="仿宋_GB2312"/>
          <w:color w:val="000000"/>
          <w:sz w:val="32"/>
          <w:szCs w:val="32"/>
        </w:rPr>
        <w:t>/</w:t>
      </w:r>
      <w:r w:rsidRPr="00E22FA3">
        <w:rPr>
          <w:rFonts w:eastAsia="仿宋_GB2312"/>
          <w:color w:val="000000"/>
          <w:sz w:val="32"/>
          <w:szCs w:val="32"/>
        </w:rPr>
        <w:t>临床相关文献数据资料、免疫毒理学试验资料、免疫原性风险相关的质量控制资料以及免疫原性相关不良事件资料等。</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4.4.2.1</w:t>
      </w:r>
      <w:r w:rsidRPr="00E22FA3">
        <w:rPr>
          <w:rFonts w:eastAsia="仿宋_GB2312"/>
          <w:color w:val="000000"/>
          <w:sz w:val="32"/>
          <w:szCs w:val="32"/>
        </w:rPr>
        <w:t>免疫毒理学试验</w:t>
      </w:r>
    </w:p>
    <w:p w:rsidR="00F448B0" w:rsidRPr="00E22FA3" w:rsidRDefault="00F448B0" w:rsidP="006370A5">
      <w:pPr>
        <w:spacing w:line="520" w:lineRule="exact"/>
        <w:ind w:firstLineChars="200" w:firstLine="648"/>
        <w:rPr>
          <w:rFonts w:eastAsia="仿宋_GB2312"/>
          <w:sz w:val="32"/>
          <w:szCs w:val="32"/>
        </w:rPr>
      </w:pPr>
      <w:r w:rsidRPr="00E22FA3">
        <w:rPr>
          <w:rFonts w:eastAsia="仿宋_GB2312"/>
          <w:color w:val="000000"/>
          <w:spacing w:val="2"/>
          <w:sz w:val="32"/>
          <w:szCs w:val="32"/>
        </w:rPr>
        <w:t>申请人可根据申报产品与已在境内上市产品在免疫原性影响因素（包括动物种类、取材组织、加工工艺等）上的可比性和免疫原性风险评价相关文献数据的充分性决定是否进行免疫毒理学试验。参考</w:t>
      </w:r>
      <w:r w:rsidRPr="00E22FA3">
        <w:rPr>
          <w:rFonts w:eastAsia="仿宋_GB2312"/>
          <w:color w:val="000000"/>
          <w:sz w:val="32"/>
          <w:szCs w:val="32"/>
        </w:rPr>
        <w:t>GB/T 16886.20</w:t>
      </w:r>
      <w:r w:rsidRPr="00E22FA3">
        <w:rPr>
          <w:rFonts w:eastAsia="仿宋_GB2312"/>
          <w:color w:val="000000"/>
          <w:spacing w:val="2"/>
          <w:sz w:val="32"/>
          <w:szCs w:val="32"/>
        </w:rPr>
        <w:t>进行本产品的免</w:t>
      </w:r>
      <w:r w:rsidRPr="00E22FA3">
        <w:rPr>
          <w:rFonts w:eastAsia="仿宋_GB2312"/>
          <w:sz w:val="32"/>
          <w:szCs w:val="32"/>
        </w:rPr>
        <w:t>疫毒理学评价，并宜在</w:t>
      </w:r>
      <w:r w:rsidRPr="00E22FA3">
        <w:rPr>
          <w:rFonts w:eastAsia="仿宋_GB2312"/>
          <w:color w:val="000000"/>
          <w:sz w:val="32"/>
          <w:szCs w:val="32"/>
        </w:rPr>
        <w:t>GB/T 16886.1</w:t>
      </w:r>
      <w:r w:rsidRPr="00E22FA3">
        <w:rPr>
          <w:rFonts w:eastAsia="仿宋_GB2312"/>
          <w:sz w:val="32"/>
          <w:szCs w:val="32"/>
        </w:rPr>
        <w:t>中的试验项目中提前考虑并纳入免疫毒性的评价指标。参考</w:t>
      </w:r>
      <w:r w:rsidRPr="00E22FA3">
        <w:rPr>
          <w:rFonts w:eastAsia="仿宋_GB2312"/>
          <w:color w:val="000000"/>
          <w:sz w:val="32"/>
          <w:szCs w:val="32"/>
        </w:rPr>
        <w:t>GB/T 16886.6</w:t>
      </w:r>
      <w:r w:rsidRPr="00E22FA3">
        <w:rPr>
          <w:rFonts w:eastAsia="仿宋_GB2312"/>
          <w:sz w:val="32"/>
          <w:szCs w:val="32"/>
        </w:rPr>
        <w:t>、</w:t>
      </w:r>
      <w:r w:rsidRPr="00E22FA3">
        <w:rPr>
          <w:rFonts w:eastAsia="仿宋_GB2312"/>
          <w:color w:val="000000"/>
          <w:sz w:val="32"/>
          <w:szCs w:val="32"/>
        </w:rPr>
        <w:t>GB/T 16886.10</w:t>
      </w:r>
      <w:r w:rsidRPr="00E22FA3">
        <w:rPr>
          <w:rFonts w:eastAsia="仿宋_GB2312"/>
          <w:sz w:val="32"/>
          <w:szCs w:val="32"/>
        </w:rPr>
        <w:t>、</w:t>
      </w:r>
      <w:r w:rsidRPr="00E22FA3">
        <w:rPr>
          <w:rFonts w:eastAsia="仿宋_GB2312"/>
          <w:color w:val="000000"/>
          <w:sz w:val="32"/>
          <w:szCs w:val="32"/>
        </w:rPr>
        <w:t>GB/T 16886.11</w:t>
      </w:r>
      <w:r w:rsidRPr="00E22FA3">
        <w:rPr>
          <w:rFonts w:eastAsia="仿宋_GB2312"/>
          <w:sz w:val="32"/>
          <w:szCs w:val="32"/>
        </w:rPr>
        <w:t>、</w:t>
      </w:r>
      <w:r w:rsidRPr="00E22FA3">
        <w:rPr>
          <w:rFonts w:eastAsia="仿宋_GB2312"/>
          <w:color w:val="000000"/>
          <w:sz w:val="32"/>
          <w:szCs w:val="32"/>
        </w:rPr>
        <w:t>YY/T 0606</w:t>
      </w:r>
      <w:r w:rsidRPr="00E22FA3">
        <w:rPr>
          <w:rFonts w:eastAsia="仿宋_GB2312"/>
          <w:sz w:val="32"/>
          <w:szCs w:val="32"/>
        </w:rPr>
        <w:t>、</w:t>
      </w:r>
      <w:r w:rsidRPr="00E22FA3">
        <w:rPr>
          <w:rFonts w:eastAsia="仿宋_GB2312"/>
          <w:color w:val="000000"/>
          <w:sz w:val="32"/>
          <w:szCs w:val="32"/>
        </w:rPr>
        <w:t>YY/T 1465</w:t>
      </w:r>
      <w:r w:rsidRPr="00E22FA3">
        <w:rPr>
          <w:rFonts w:eastAsia="仿宋_GB2312"/>
          <w:sz w:val="32"/>
          <w:szCs w:val="32"/>
        </w:rPr>
        <w:t>等相关标准进行体内、体外免疫毒理学检验和评价。如有新发布的标准或经验证的方法也可采用。提供免疫原性毒理学试验的充分性分析。考虑不同的接触方式、剂量水平、降解过程对免疫原性的影响，并进行验证。</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免疫反应途径可能与此类产品的组织修复机制有关，因此组织修复机制相关的评价研究结果也可用于免疫毒性</w:t>
      </w:r>
      <w:r w:rsidRPr="00E22FA3">
        <w:rPr>
          <w:rFonts w:eastAsia="仿宋_GB2312"/>
          <w:color w:val="000000"/>
          <w:sz w:val="32"/>
          <w:szCs w:val="32"/>
        </w:rPr>
        <w:t>/</w:t>
      </w:r>
      <w:r w:rsidRPr="00E22FA3">
        <w:rPr>
          <w:rFonts w:eastAsia="仿宋_GB2312"/>
          <w:color w:val="000000"/>
          <w:sz w:val="32"/>
          <w:szCs w:val="32"/>
        </w:rPr>
        <w:t>免疫原性评价的补充分析。</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4.4.2.2</w:t>
      </w:r>
      <w:r w:rsidRPr="00E22FA3">
        <w:rPr>
          <w:rFonts w:eastAsia="仿宋_GB2312"/>
          <w:color w:val="000000"/>
          <w:sz w:val="32"/>
          <w:szCs w:val="32"/>
        </w:rPr>
        <w:t>免疫原性风险研究及质量控制</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结合工艺验证对产品中可能引起免疫原性的物质残留（如各类细胞成分）及其免疫原性风险进行研究，制定适宜的免疫原性风险相关的质量控制项目及可接受指标，并论述质量控制项目及指标的合理性、充分性。可通过残留</w:t>
      </w:r>
      <w:r w:rsidRPr="00E22FA3">
        <w:rPr>
          <w:rFonts w:eastAsia="仿宋_GB2312"/>
          <w:color w:val="000000"/>
          <w:sz w:val="32"/>
          <w:szCs w:val="32"/>
        </w:rPr>
        <w:t>DNA</w:t>
      </w:r>
      <w:r w:rsidRPr="00E22FA3">
        <w:rPr>
          <w:rFonts w:eastAsia="仿宋_GB2312"/>
          <w:color w:val="000000"/>
          <w:sz w:val="32"/>
          <w:szCs w:val="32"/>
        </w:rPr>
        <w:t>数量及片段分析，残留细胞、细胞核及细胞碎片数量、残留</w:t>
      </w:r>
      <w:r w:rsidRPr="00E22FA3">
        <w:rPr>
          <w:rFonts w:eastAsia="仿宋_GB2312"/>
          <w:color w:val="000000"/>
          <w:sz w:val="32"/>
          <w:szCs w:val="32"/>
        </w:rPr>
        <w:t>α-Gal</w:t>
      </w:r>
      <w:r w:rsidRPr="00E22FA3">
        <w:rPr>
          <w:rFonts w:eastAsia="仿宋_GB2312"/>
          <w:color w:val="000000"/>
          <w:sz w:val="32"/>
          <w:szCs w:val="32"/>
        </w:rPr>
        <w:t>抗原等适用的指标进行控制。</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可接受指标的制定应与验证结果相一致，提供指标制定依据，提供该控制水平下产品用于预期用途的免疫原性风险可接受的分析。</w:t>
      </w:r>
    </w:p>
    <w:p w:rsidR="00F448B0" w:rsidRPr="00E22FA3" w:rsidRDefault="00F448B0" w:rsidP="006370A5">
      <w:pPr>
        <w:spacing w:line="520" w:lineRule="exact"/>
        <w:ind w:firstLineChars="200" w:firstLine="640"/>
        <w:rPr>
          <w:rFonts w:eastAsia="仿宋_GB2312"/>
          <w:bCs/>
          <w:sz w:val="32"/>
          <w:szCs w:val="32"/>
        </w:rPr>
      </w:pPr>
      <w:r w:rsidRPr="00E22FA3">
        <w:rPr>
          <w:rFonts w:eastAsia="仿宋_GB2312"/>
          <w:bCs/>
          <w:sz w:val="32"/>
          <w:szCs w:val="32"/>
        </w:rPr>
        <w:t>4.5</w:t>
      </w:r>
      <w:r w:rsidRPr="00E22FA3">
        <w:rPr>
          <w:rFonts w:eastAsia="仿宋_GB2312"/>
          <w:bCs/>
          <w:sz w:val="32"/>
          <w:szCs w:val="32"/>
        </w:rPr>
        <w:t>灭菌确认</w:t>
      </w:r>
    </w:p>
    <w:p w:rsidR="00F448B0" w:rsidRPr="00E22FA3" w:rsidRDefault="00F448B0" w:rsidP="006370A5">
      <w:pPr>
        <w:overflowPunct w:val="0"/>
        <w:spacing w:line="520" w:lineRule="exact"/>
        <w:ind w:firstLineChars="200" w:firstLine="640"/>
        <w:rPr>
          <w:rFonts w:eastAsia="仿宋_GB2312"/>
          <w:sz w:val="32"/>
          <w:szCs w:val="32"/>
        </w:rPr>
      </w:pPr>
      <w:r w:rsidRPr="00E22FA3">
        <w:rPr>
          <w:rFonts w:eastAsia="仿宋_GB2312"/>
          <w:sz w:val="32"/>
          <w:szCs w:val="32"/>
        </w:rPr>
        <w:t>明确产品的灭菌工艺（方法和参数）和无菌保证水平</w:t>
      </w:r>
      <w:r w:rsidRPr="00E22FA3">
        <w:rPr>
          <w:rFonts w:eastAsia="仿宋_GB2312"/>
          <w:color w:val="000000"/>
          <w:sz w:val="32"/>
          <w:szCs w:val="32"/>
        </w:rPr>
        <w:t>（</w:t>
      </w:r>
      <w:r w:rsidRPr="00E22FA3">
        <w:rPr>
          <w:rFonts w:eastAsia="仿宋_GB2312"/>
          <w:color w:val="000000"/>
          <w:sz w:val="32"/>
          <w:szCs w:val="32"/>
        </w:rPr>
        <w:t>SAL</w:t>
      </w:r>
      <w:r w:rsidRPr="00E22FA3">
        <w:rPr>
          <w:rFonts w:eastAsia="仿宋_GB2312"/>
          <w:color w:val="000000"/>
          <w:sz w:val="32"/>
          <w:szCs w:val="32"/>
        </w:rPr>
        <w:t>）</w:t>
      </w:r>
      <w:r w:rsidRPr="00E22FA3">
        <w:rPr>
          <w:rFonts w:eastAsia="仿宋_GB2312"/>
          <w:sz w:val="32"/>
          <w:szCs w:val="32"/>
        </w:rPr>
        <w:t>，提供符合相应灭菌验证标准的灭菌确认报告，如</w:t>
      </w:r>
      <w:r w:rsidRPr="00E22FA3">
        <w:rPr>
          <w:rFonts w:eastAsia="仿宋_GB2312"/>
          <w:color w:val="000000"/>
          <w:sz w:val="32"/>
          <w:szCs w:val="32"/>
        </w:rPr>
        <w:t>GB 18280</w:t>
      </w:r>
      <w:r w:rsidRPr="00E22FA3">
        <w:rPr>
          <w:rFonts w:eastAsia="仿宋_GB2312"/>
          <w:sz w:val="32"/>
          <w:szCs w:val="32"/>
        </w:rPr>
        <w:t>、</w:t>
      </w:r>
      <w:r w:rsidRPr="00E22FA3">
        <w:rPr>
          <w:rFonts w:eastAsia="仿宋_GB2312"/>
          <w:color w:val="000000"/>
          <w:sz w:val="32"/>
          <w:szCs w:val="32"/>
        </w:rPr>
        <w:t>GB 18279</w:t>
      </w:r>
      <w:r w:rsidRPr="00E22FA3">
        <w:rPr>
          <w:rFonts w:eastAsia="仿宋_GB2312"/>
          <w:sz w:val="32"/>
          <w:szCs w:val="32"/>
        </w:rPr>
        <w:t>、</w:t>
      </w:r>
      <w:r w:rsidRPr="00E22FA3">
        <w:rPr>
          <w:rFonts w:eastAsia="仿宋_GB2312"/>
          <w:color w:val="000000"/>
          <w:sz w:val="32"/>
          <w:szCs w:val="32"/>
        </w:rPr>
        <w:t>YY 0970</w:t>
      </w:r>
      <w:r w:rsidRPr="00E22FA3">
        <w:rPr>
          <w:rFonts w:eastAsia="仿宋_GB2312"/>
          <w:sz w:val="32"/>
          <w:szCs w:val="32"/>
        </w:rPr>
        <w:t>等。提供灭菌工艺的选择、产品及包装的耐受性、灭菌工艺对产品结构及性能影响的验证资料。对于经辐照灭菌的产品，明确辐照剂量并提供其确定依据。对于经环氧乙烷灭菌的产品，需确定环氧乙烷、</w:t>
      </w:r>
      <w:r w:rsidRPr="00E22FA3">
        <w:rPr>
          <w:rFonts w:eastAsia="仿宋_GB2312"/>
          <w:color w:val="000000"/>
          <w:sz w:val="32"/>
          <w:szCs w:val="32"/>
        </w:rPr>
        <w:t>2-</w:t>
      </w:r>
      <w:r w:rsidRPr="00E22FA3">
        <w:rPr>
          <w:rFonts w:eastAsia="仿宋_GB2312"/>
          <w:sz w:val="32"/>
          <w:szCs w:val="32"/>
        </w:rPr>
        <w:t>氯乙醇等适用的相关衍生物在产品上的残留水平、最高残留上限，并提供制定依据。</w:t>
      </w:r>
    </w:p>
    <w:p w:rsidR="00F448B0" w:rsidRPr="00E22FA3" w:rsidRDefault="00F448B0" w:rsidP="006370A5">
      <w:pPr>
        <w:spacing w:line="520" w:lineRule="exact"/>
        <w:ind w:firstLineChars="200" w:firstLine="640"/>
        <w:rPr>
          <w:rFonts w:eastAsia="仿宋_GB2312"/>
          <w:bCs/>
          <w:sz w:val="32"/>
          <w:szCs w:val="32"/>
        </w:rPr>
      </w:pPr>
      <w:r w:rsidRPr="00E22FA3">
        <w:rPr>
          <w:rFonts w:eastAsia="仿宋_GB2312"/>
          <w:bCs/>
          <w:sz w:val="32"/>
          <w:szCs w:val="32"/>
        </w:rPr>
        <w:t>4.6</w:t>
      </w:r>
      <w:r w:rsidRPr="00E22FA3">
        <w:rPr>
          <w:rFonts w:eastAsia="仿宋_GB2312"/>
          <w:bCs/>
          <w:sz w:val="32"/>
          <w:szCs w:val="32"/>
        </w:rPr>
        <w:t>动物</w:t>
      </w:r>
      <w:r w:rsidRPr="00E22FA3">
        <w:rPr>
          <w:rFonts w:eastAsia="仿宋_GB2312"/>
          <w:color w:val="000000"/>
          <w:sz w:val="32"/>
          <w:szCs w:val="32"/>
        </w:rPr>
        <w:t>试验</w:t>
      </w:r>
    </w:p>
    <w:p w:rsidR="00F448B0" w:rsidRPr="00E22FA3" w:rsidRDefault="00F448B0" w:rsidP="006370A5">
      <w:pPr>
        <w:adjustRightInd w:val="0"/>
        <w:snapToGrid w:val="0"/>
        <w:spacing w:line="520" w:lineRule="exact"/>
        <w:ind w:firstLineChars="200" w:firstLine="640"/>
        <w:rPr>
          <w:rFonts w:eastAsia="仿宋_GB2312"/>
          <w:color w:val="000000"/>
          <w:sz w:val="32"/>
          <w:szCs w:val="32"/>
        </w:rPr>
      </w:pPr>
      <w:r w:rsidRPr="00E22FA3">
        <w:rPr>
          <w:rFonts w:eastAsia="仿宋_GB2312"/>
          <w:color w:val="000000"/>
          <w:sz w:val="32"/>
          <w:szCs w:val="32"/>
        </w:rPr>
        <w:t>参考《</w:t>
      </w:r>
      <w:r w:rsidRPr="00E22FA3">
        <w:rPr>
          <w:rFonts w:eastAsia="仿宋_GB2312"/>
          <w:sz w:val="32"/>
          <w:szCs w:val="32"/>
        </w:rPr>
        <w:t>医疗器械动物试验研究注册审查指导原则</w:t>
      </w:r>
      <w:r w:rsidRPr="00E22FA3">
        <w:rPr>
          <w:rFonts w:eastAsia="仿宋_GB2312"/>
          <w:sz w:val="32"/>
          <w:szCs w:val="32"/>
        </w:rPr>
        <w:t xml:space="preserve"> </w:t>
      </w:r>
      <w:r w:rsidRPr="00E22FA3">
        <w:rPr>
          <w:rFonts w:eastAsia="仿宋_GB2312"/>
          <w:sz w:val="32"/>
          <w:szCs w:val="32"/>
        </w:rPr>
        <w:t>第一部分：决策原则</w:t>
      </w:r>
      <w:r w:rsidRPr="00E22FA3">
        <w:rPr>
          <w:rFonts w:eastAsia="仿宋_GB2312"/>
          <w:color w:val="000000"/>
          <w:sz w:val="32"/>
          <w:szCs w:val="32"/>
        </w:rPr>
        <w:t>》决策是否需进行动物试验。如需进行动物试验，参考《医疗器械动物试验研究注册审查指导原则</w:t>
      </w:r>
      <w:r w:rsidRPr="00E22FA3">
        <w:rPr>
          <w:rFonts w:eastAsia="仿宋_GB2312"/>
          <w:color w:val="000000"/>
          <w:sz w:val="32"/>
          <w:szCs w:val="32"/>
        </w:rPr>
        <w:t xml:space="preserve"> </w:t>
      </w:r>
      <w:r w:rsidRPr="00E22FA3">
        <w:rPr>
          <w:rFonts w:eastAsia="仿宋_GB2312"/>
          <w:color w:val="000000"/>
          <w:sz w:val="32"/>
          <w:szCs w:val="32"/>
        </w:rPr>
        <w:t>第二部分：试验设计、实施质量保证》开展。</w:t>
      </w:r>
    </w:p>
    <w:p w:rsidR="00F448B0" w:rsidRPr="00E22FA3" w:rsidRDefault="00F448B0" w:rsidP="006370A5">
      <w:pPr>
        <w:adjustRightInd w:val="0"/>
        <w:snapToGrid w:val="0"/>
        <w:spacing w:line="520" w:lineRule="exact"/>
        <w:ind w:firstLineChars="200" w:firstLine="640"/>
        <w:rPr>
          <w:rFonts w:eastAsia="仿宋_GB2312"/>
          <w:color w:val="000000"/>
          <w:sz w:val="32"/>
          <w:szCs w:val="32"/>
        </w:rPr>
      </w:pPr>
      <w:r w:rsidRPr="00E22FA3">
        <w:rPr>
          <w:rFonts w:eastAsia="仿宋_GB2312"/>
          <w:color w:val="000000"/>
          <w:sz w:val="32"/>
          <w:szCs w:val="32"/>
        </w:rPr>
        <w:t>开展动物试验前宜充分搜集文献，结合产品的预期用途进行试验设计，明确试验目的，提供各项要素的设计依据，如受试器械及对照组、动物种类、基本要素（性别、年龄、体重等）、</w:t>
      </w:r>
      <w:r w:rsidRPr="00E22FA3">
        <w:rPr>
          <w:rFonts w:eastAsia="仿宋_GB2312"/>
          <w:sz w:val="32"/>
          <w:szCs w:val="32"/>
        </w:rPr>
        <w:t>疾病模型、动物</w:t>
      </w:r>
      <w:r w:rsidRPr="00E22FA3">
        <w:rPr>
          <w:rFonts w:eastAsia="仿宋_GB2312"/>
          <w:color w:val="000000"/>
          <w:sz w:val="32"/>
          <w:szCs w:val="32"/>
        </w:rPr>
        <w:t>数量、观察点及评价指标等。关于疾病模型，宜提供致伤方式、损伤面积及程度的制定依据。观察项目宜包含创面上皮化情况、血管化情况、组织病理学观察、植入物的降解和转归重塑时间等。角膜植片产品宜进一步观察角膜水肿、角膜透明情况等。适用时，在动物试验中合并观察免疫原性的相关指标。</w:t>
      </w:r>
    </w:p>
    <w:p w:rsidR="00F448B0" w:rsidRPr="00E22FA3" w:rsidRDefault="00F448B0" w:rsidP="006370A5">
      <w:pPr>
        <w:spacing w:line="520" w:lineRule="exact"/>
        <w:ind w:firstLineChars="200" w:firstLine="640"/>
        <w:rPr>
          <w:rFonts w:eastAsia="仿宋_GB2312"/>
          <w:bCs/>
          <w:sz w:val="32"/>
          <w:szCs w:val="32"/>
        </w:rPr>
      </w:pPr>
      <w:r w:rsidRPr="00E22FA3">
        <w:rPr>
          <w:rFonts w:eastAsia="仿宋_GB2312"/>
          <w:bCs/>
          <w:sz w:val="32"/>
          <w:szCs w:val="32"/>
        </w:rPr>
        <w:t>5.</w:t>
      </w:r>
      <w:r w:rsidRPr="00E22FA3">
        <w:rPr>
          <w:rFonts w:eastAsia="仿宋_GB2312"/>
          <w:bCs/>
          <w:sz w:val="32"/>
          <w:szCs w:val="32"/>
        </w:rPr>
        <w:t>稳定性研究</w:t>
      </w:r>
    </w:p>
    <w:p w:rsidR="00F448B0" w:rsidRPr="00E22FA3" w:rsidRDefault="00F448B0" w:rsidP="006370A5">
      <w:pPr>
        <w:adjustRightInd w:val="0"/>
        <w:snapToGrid w:val="0"/>
        <w:spacing w:line="520" w:lineRule="exact"/>
        <w:ind w:firstLineChars="200" w:firstLine="640"/>
        <w:rPr>
          <w:rFonts w:eastAsia="仿宋_GB2312"/>
          <w:bCs/>
          <w:sz w:val="32"/>
          <w:szCs w:val="32"/>
        </w:rPr>
      </w:pPr>
      <w:r w:rsidRPr="00E22FA3">
        <w:rPr>
          <w:rFonts w:eastAsia="仿宋_GB2312"/>
          <w:color w:val="000000"/>
          <w:sz w:val="32"/>
          <w:szCs w:val="32"/>
        </w:rPr>
        <w:t>参照《无源植入性医疗器械稳定性研究指导原则》提供稳定性研究报告。</w:t>
      </w:r>
    </w:p>
    <w:p w:rsidR="00F448B0" w:rsidRPr="00E22FA3" w:rsidRDefault="00F448B0" w:rsidP="006370A5">
      <w:pPr>
        <w:adjustRightInd w:val="0"/>
        <w:snapToGrid w:val="0"/>
        <w:spacing w:line="520" w:lineRule="exact"/>
        <w:ind w:firstLineChars="200" w:firstLine="640"/>
        <w:rPr>
          <w:rFonts w:eastAsia="仿宋_GB2312"/>
          <w:color w:val="000000"/>
          <w:sz w:val="32"/>
          <w:szCs w:val="32"/>
        </w:rPr>
      </w:pPr>
      <w:r w:rsidRPr="00E22FA3">
        <w:rPr>
          <w:rFonts w:eastAsia="仿宋_GB2312"/>
          <w:color w:val="000000"/>
          <w:sz w:val="32"/>
          <w:szCs w:val="32"/>
        </w:rPr>
        <w:t>5.1</w:t>
      </w:r>
      <w:r w:rsidRPr="00E22FA3">
        <w:rPr>
          <w:rFonts w:eastAsia="仿宋_GB2312"/>
          <w:color w:val="000000"/>
          <w:sz w:val="32"/>
          <w:szCs w:val="32"/>
        </w:rPr>
        <w:t>货架有效期</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此类产品来源于动物组织，与合成高分子材料的结构组成具有较大差异，产品老化和失效的理化机制也更复杂，根据文献资料结合产品特性对产品老化和失效的主要机制进行研究确认。如选择加速老化试验，宜论证阿伦纽斯方程的适用性，及各项参数取值的合理性。研究温度、湿度、光照条件等对产品稳定性的影响，来确定实时老化验证的温度、湿度、光照条件等，建议采用可代表产品实际储存的不利条件（如最高储存温度）进行实时老化货架有效期验证，并为说明书中产品的贮存及运输条件提供科学依据。</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报告中宜包含稳定性试验的温度、湿度的控制范围，必要时提供温度记录。</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验证样品应具有可代表性，覆盖最不利情况。</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5.2</w:t>
      </w:r>
      <w:r w:rsidRPr="00E22FA3">
        <w:rPr>
          <w:rFonts w:eastAsia="仿宋_GB2312"/>
          <w:color w:val="000000"/>
          <w:sz w:val="32"/>
          <w:szCs w:val="32"/>
        </w:rPr>
        <w:t>运输稳定性</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如产品的预期运输温度条件与储存的温度条件不一致，宜明确规定的运输温度条件，并建议模拟运输与货架有效期合并进行验证。</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6.</w:t>
      </w:r>
      <w:r w:rsidRPr="00E22FA3">
        <w:rPr>
          <w:rFonts w:eastAsia="仿宋_GB2312"/>
          <w:bCs/>
          <w:sz w:val="32"/>
          <w:szCs w:val="32"/>
        </w:rPr>
        <w:t>其他</w:t>
      </w:r>
      <w:r w:rsidRPr="00E22FA3">
        <w:rPr>
          <w:rFonts w:eastAsia="仿宋_GB2312"/>
          <w:color w:val="000000"/>
          <w:sz w:val="32"/>
          <w:szCs w:val="32"/>
        </w:rPr>
        <w:t>研究资料</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根据原材料来源、加工工艺、临床需求的不同，如适用，提交其他与产品安全性、有效性相关的研究资料。</w:t>
      </w:r>
    </w:p>
    <w:p w:rsidR="00F448B0" w:rsidRPr="00E22FA3" w:rsidRDefault="00F448B0" w:rsidP="006370A5">
      <w:pPr>
        <w:spacing w:line="520" w:lineRule="exact"/>
        <w:ind w:firstLineChars="200" w:firstLine="640"/>
        <w:rPr>
          <w:rFonts w:eastAsia="楷体_GB2312"/>
          <w:color w:val="000000"/>
          <w:kern w:val="44"/>
          <w:sz w:val="32"/>
          <w:szCs w:val="44"/>
        </w:rPr>
      </w:pPr>
      <w:r w:rsidRPr="00E22FA3">
        <w:rPr>
          <w:rFonts w:eastAsia="楷体_GB2312"/>
          <w:color w:val="000000"/>
          <w:kern w:val="44"/>
          <w:sz w:val="32"/>
          <w:szCs w:val="44"/>
        </w:rPr>
        <w:t>（四）临床评价资料</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按照《医疗器械临床评价技术指导原则》及相关的文件要求提交临床评价资料。</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对于通过临床试验进行临床评价的，应当按照《医疗器械临床试验质量管理规范》的要求开展临床试验。</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申请人如提供境外临床试验数据作为临床评价资料，需符合《接受医疗器械境外临床试验数据技术指导原则》的相关要求。</w:t>
      </w:r>
    </w:p>
    <w:p w:rsidR="00F448B0" w:rsidRPr="00E22FA3" w:rsidRDefault="00F448B0" w:rsidP="006370A5">
      <w:pPr>
        <w:spacing w:line="520" w:lineRule="exact"/>
        <w:ind w:firstLineChars="200" w:firstLine="640"/>
        <w:rPr>
          <w:rFonts w:eastAsia="楷体_GB2312"/>
          <w:color w:val="000000"/>
          <w:kern w:val="44"/>
          <w:sz w:val="32"/>
          <w:szCs w:val="44"/>
        </w:rPr>
      </w:pPr>
      <w:r w:rsidRPr="00E22FA3">
        <w:rPr>
          <w:rFonts w:eastAsia="楷体_GB2312"/>
          <w:color w:val="000000"/>
          <w:kern w:val="44"/>
          <w:sz w:val="32"/>
          <w:szCs w:val="44"/>
        </w:rPr>
        <w:t>（五）产品说明书和标签样稿</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按照《医疗器械说明书和标签管理规定》编制产品说明书。</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产品信息中宜明示原材料来源。</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结合产品的风险管理报告、研究资料、临床评价资料，明确产品的禁忌证，并细化注意事项、警示以及提示的内容，宜关注动物源性材料的过敏风险。</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使用方法及步骤说明应具体、清晰。如产品临床使用前需进行清洗、复水处理，说明书中宜详述操作方法，并与验证资料保持一致。</w:t>
      </w:r>
    </w:p>
    <w:p w:rsidR="00F448B0" w:rsidRPr="00E22FA3" w:rsidRDefault="00F448B0" w:rsidP="006370A5">
      <w:pPr>
        <w:spacing w:line="520" w:lineRule="exact"/>
        <w:ind w:firstLineChars="200" w:firstLine="640"/>
        <w:rPr>
          <w:rFonts w:eastAsia="楷体_GB2312"/>
          <w:color w:val="000000"/>
          <w:kern w:val="44"/>
          <w:sz w:val="32"/>
          <w:szCs w:val="44"/>
        </w:rPr>
      </w:pPr>
      <w:r w:rsidRPr="00E22FA3">
        <w:rPr>
          <w:rFonts w:eastAsia="楷体_GB2312"/>
          <w:color w:val="000000"/>
          <w:kern w:val="44"/>
          <w:sz w:val="32"/>
          <w:szCs w:val="44"/>
        </w:rPr>
        <w:t>（六）质量管理体系文件</w:t>
      </w:r>
    </w:p>
    <w:p w:rsidR="00F448B0" w:rsidRPr="00E22FA3" w:rsidRDefault="00F448B0" w:rsidP="006370A5">
      <w:pPr>
        <w:spacing w:line="520" w:lineRule="exact"/>
        <w:ind w:firstLineChars="200" w:firstLine="640"/>
        <w:rPr>
          <w:rFonts w:eastAsia="仿宋_GB2312"/>
          <w:bCs/>
          <w:color w:val="000000"/>
          <w:sz w:val="32"/>
          <w:szCs w:val="32"/>
        </w:rPr>
      </w:pPr>
      <w:bookmarkStart w:id="0" w:name="_GoBack"/>
      <w:bookmarkEnd w:id="0"/>
      <w:r w:rsidRPr="00E22FA3">
        <w:rPr>
          <w:rFonts w:eastAsia="仿宋_GB2312"/>
          <w:color w:val="000000"/>
          <w:sz w:val="32"/>
          <w:szCs w:val="32"/>
        </w:rPr>
        <w:t>提供工艺流程图及各步骤的描述，包括各步骤的目的、设备、试剂、参数等信息。注明关键工艺及特殊工艺，说明其过程控制点。</w:t>
      </w:r>
      <w:r w:rsidRPr="00E22FA3">
        <w:rPr>
          <w:rFonts w:eastAsia="仿宋_GB2312"/>
          <w:bCs/>
          <w:color w:val="000000"/>
          <w:sz w:val="32"/>
          <w:szCs w:val="32"/>
        </w:rPr>
        <w:t>明确生产过程中各种加工助剂的使用情况及对助剂残留的控制情况。</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仿宋_GB2312"/>
          <w:color w:val="000000"/>
          <w:sz w:val="32"/>
          <w:szCs w:val="32"/>
        </w:rPr>
        <w:t>质量体系文件还需符合《医疗器械生产质量管理规范附录</w:t>
      </w:r>
      <w:r w:rsidRPr="00E22FA3">
        <w:rPr>
          <w:rFonts w:eastAsia="仿宋_GB2312"/>
          <w:color w:val="000000"/>
          <w:sz w:val="32"/>
          <w:szCs w:val="32"/>
        </w:rPr>
        <w:t xml:space="preserve"> </w:t>
      </w:r>
      <w:r w:rsidRPr="00E22FA3">
        <w:rPr>
          <w:rFonts w:eastAsia="仿宋_GB2312"/>
          <w:color w:val="000000"/>
          <w:sz w:val="32"/>
          <w:szCs w:val="32"/>
        </w:rPr>
        <w:t>植入性医疗器械》中关于植入性动物源医疗器械的要求，</w:t>
      </w:r>
      <w:r w:rsidRPr="00E22FA3">
        <w:rPr>
          <w:rFonts w:eastAsia="仿宋_GB2312"/>
          <w:color w:val="000000"/>
          <w:sz w:val="32"/>
          <w:szCs w:val="32"/>
        </w:rPr>
        <w:t>YY/T 0771.2</w:t>
      </w:r>
      <w:r w:rsidRPr="00E22FA3">
        <w:rPr>
          <w:rFonts w:eastAsia="仿宋_GB2312"/>
          <w:color w:val="000000"/>
          <w:sz w:val="32"/>
          <w:szCs w:val="32"/>
        </w:rPr>
        <w:t>中的要求。</w:t>
      </w:r>
    </w:p>
    <w:p w:rsidR="00F448B0" w:rsidRPr="00E22FA3" w:rsidRDefault="00F448B0" w:rsidP="006370A5">
      <w:pPr>
        <w:spacing w:line="520" w:lineRule="exact"/>
        <w:ind w:firstLineChars="200" w:firstLine="640"/>
        <w:rPr>
          <w:rFonts w:eastAsia="仿宋_GB2312"/>
          <w:color w:val="000000"/>
          <w:sz w:val="32"/>
          <w:szCs w:val="32"/>
        </w:rPr>
      </w:pPr>
      <w:r w:rsidRPr="00E22FA3">
        <w:rPr>
          <w:rFonts w:eastAsia="黑体"/>
          <w:bCs/>
          <w:kern w:val="44"/>
          <w:sz w:val="32"/>
          <w:szCs w:val="44"/>
        </w:rPr>
        <w:t>三、参考文献</w:t>
      </w:r>
    </w:p>
    <w:p w:rsidR="00F448B0" w:rsidRPr="00E22FA3" w:rsidRDefault="00F448B0" w:rsidP="006370A5">
      <w:pPr>
        <w:numPr>
          <w:ilvl w:val="0"/>
          <w:numId w:val="20"/>
        </w:numPr>
        <w:tabs>
          <w:tab w:val="clear" w:pos="0"/>
          <w:tab w:val="left" w:pos="360"/>
          <w:tab w:val="left" w:pos="952"/>
          <w:tab w:val="left" w:pos="1078"/>
          <w:tab w:val="left" w:pos="1140"/>
        </w:tabs>
        <w:autoSpaceDE w:val="0"/>
        <w:autoSpaceDN w:val="0"/>
        <w:adjustRightInd w:val="0"/>
        <w:spacing w:line="520" w:lineRule="exact"/>
        <w:ind w:firstLineChars="200" w:firstLine="640"/>
        <w:rPr>
          <w:rFonts w:eastAsia="仿宋_GB2312"/>
          <w:sz w:val="32"/>
          <w:szCs w:val="32"/>
        </w:rPr>
      </w:pPr>
      <w:r w:rsidRPr="00E22FA3">
        <w:rPr>
          <w:rFonts w:eastAsia="仿宋_GB2312"/>
          <w:color w:val="000000"/>
          <w:sz w:val="32"/>
          <w:szCs w:val="32"/>
        </w:rPr>
        <w:t>中华人民共和国国务院</w:t>
      </w:r>
      <w:r w:rsidRPr="00E22FA3">
        <w:rPr>
          <w:rFonts w:eastAsia="仿宋_GB2312"/>
          <w:color w:val="000000"/>
          <w:sz w:val="32"/>
          <w:szCs w:val="32"/>
        </w:rPr>
        <w:t>.</w:t>
      </w:r>
      <w:r w:rsidRPr="00E22FA3">
        <w:rPr>
          <w:rFonts w:eastAsia="仿宋_GB2312"/>
          <w:color w:val="000000"/>
          <w:sz w:val="32"/>
          <w:szCs w:val="32"/>
        </w:rPr>
        <w:t>医疗器械监督管理条例</w:t>
      </w:r>
      <w:r w:rsidRPr="00E22FA3">
        <w:rPr>
          <w:rFonts w:eastAsia="仿宋_GB2312"/>
          <w:color w:val="000000"/>
          <w:sz w:val="32"/>
          <w:szCs w:val="32"/>
        </w:rPr>
        <w:t>:</w:t>
      </w:r>
      <w:r w:rsidRPr="00E22FA3">
        <w:rPr>
          <w:rFonts w:eastAsia="仿宋_GB2312"/>
          <w:color w:val="000000"/>
          <w:sz w:val="32"/>
          <w:szCs w:val="32"/>
        </w:rPr>
        <w:t>中华人民共和国国务院令第</w:t>
      </w:r>
      <w:r w:rsidRPr="00E22FA3">
        <w:rPr>
          <w:rFonts w:eastAsia="仿宋_GB2312"/>
          <w:color w:val="000000"/>
          <w:sz w:val="32"/>
          <w:szCs w:val="32"/>
        </w:rPr>
        <w:t>739</w:t>
      </w:r>
      <w:r w:rsidRPr="00E22FA3">
        <w:rPr>
          <w:rFonts w:eastAsia="仿宋_GB2312"/>
          <w:color w:val="000000"/>
          <w:sz w:val="32"/>
          <w:szCs w:val="32"/>
        </w:rPr>
        <w:t>号</w:t>
      </w:r>
      <w:r w:rsidRPr="00E22FA3">
        <w:rPr>
          <w:rFonts w:eastAsia="仿宋_GB2312"/>
          <w:color w:val="000000"/>
          <w:sz w:val="32"/>
          <w:szCs w:val="32"/>
        </w:rPr>
        <w:t>[Z].</w:t>
      </w:r>
    </w:p>
    <w:p w:rsidR="00F448B0" w:rsidRPr="00E22FA3" w:rsidRDefault="00F448B0" w:rsidP="006370A5">
      <w:pPr>
        <w:numPr>
          <w:ilvl w:val="0"/>
          <w:numId w:val="20"/>
        </w:numPr>
        <w:tabs>
          <w:tab w:val="clear" w:pos="0"/>
          <w:tab w:val="left" w:pos="360"/>
          <w:tab w:val="left" w:pos="952"/>
          <w:tab w:val="left" w:pos="1078"/>
          <w:tab w:val="left" w:pos="1140"/>
        </w:tabs>
        <w:autoSpaceDE w:val="0"/>
        <w:autoSpaceDN w:val="0"/>
        <w:adjustRightInd w:val="0"/>
        <w:spacing w:line="520" w:lineRule="exact"/>
        <w:ind w:firstLineChars="200" w:firstLine="640"/>
        <w:rPr>
          <w:rFonts w:eastAsia="仿宋_GB2312"/>
          <w:sz w:val="32"/>
          <w:szCs w:val="32"/>
        </w:rPr>
      </w:pPr>
      <w:r w:rsidRPr="00E22FA3">
        <w:rPr>
          <w:rFonts w:eastAsia="仿宋_GB2312"/>
          <w:color w:val="000000"/>
          <w:sz w:val="32"/>
          <w:szCs w:val="32"/>
        </w:rPr>
        <w:t>国家市场监督管理总局</w:t>
      </w:r>
      <w:r w:rsidRPr="00E22FA3">
        <w:rPr>
          <w:rFonts w:eastAsia="仿宋_GB2312"/>
          <w:color w:val="000000"/>
          <w:sz w:val="32"/>
          <w:szCs w:val="32"/>
        </w:rPr>
        <w:t>.</w:t>
      </w:r>
      <w:r w:rsidRPr="00E22FA3">
        <w:rPr>
          <w:rFonts w:eastAsia="仿宋_GB2312"/>
          <w:color w:val="000000"/>
          <w:sz w:val="32"/>
          <w:szCs w:val="32"/>
        </w:rPr>
        <w:t>医疗器械注册与备案管理办法</w:t>
      </w:r>
      <w:r w:rsidRPr="00E22FA3">
        <w:rPr>
          <w:rFonts w:eastAsia="仿宋_GB2312"/>
          <w:color w:val="000000"/>
          <w:sz w:val="32"/>
          <w:szCs w:val="32"/>
        </w:rPr>
        <w:t>:</w:t>
      </w:r>
      <w:r w:rsidRPr="00E22FA3">
        <w:rPr>
          <w:rFonts w:eastAsia="仿宋_GB2312"/>
          <w:color w:val="000000"/>
          <w:sz w:val="32"/>
          <w:szCs w:val="32"/>
        </w:rPr>
        <w:t>国家市场监督管理总局令第</w:t>
      </w:r>
      <w:r w:rsidRPr="00E22FA3">
        <w:rPr>
          <w:rFonts w:eastAsia="仿宋_GB2312"/>
          <w:color w:val="000000"/>
          <w:sz w:val="32"/>
          <w:szCs w:val="32"/>
        </w:rPr>
        <w:t>47</w:t>
      </w:r>
      <w:r w:rsidRPr="00E22FA3">
        <w:rPr>
          <w:rFonts w:eastAsia="仿宋_GB2312"/>
          <w:color w:val="000000"/>
          <w:sz w:val="32"/>
          <w:szCs w:val="32"/>
        </w:rPr>
        <w:t>号</w:t>
      </w:r>
      <w:r w:rsidRPr="00E22FA3">
        <w:rPr>
          <w:rFonts w:eastAsia="仿宋_GB2312"/>
          <w:color w:val="000000"/>
          <w:sz w:val="32"/>
          <w:szCs w:val="32"/>
        </w:rPr>
        <w:t>[Z].</w:t>
      </w:r>
    </w:p>
    <w:p w:rsidR="00F448B0" w:rsidRPr="00E22FA3" w:rsidRDefault="00F448B0" w:rsidP="006370A5">
      <w:pPr>
        <w:numPr>
          <w:ilvl w:val="0"/>
          <w:numId w:val="20"/>
        </w:numPr>
        <w:tabs>
          <w:tab w:val="clear" w:pos="0"/>
          <w:tab w:val="left" w:pos="360"/>
          <w:tab w:val="left" w:pos="952"/>
          <w:tab w:val="left" w:pos="1078"/>
          <w:tab w:val="left" w:pos="1140"/>
        </w:tabs>
        <w:autoSpaceDE w:val="0"/>
        <w:autoSpaceDN w:val="0"/>
        <w:adjustRightInd w:val="0"/>
        <w:spacing w:line="520" w:lineRule="exact"/>
        <w:ind w:firstLineChars="200" w:firstLine="640"/>
        <w:rPr>
          <w:rFonts w:eastAsia="仿宋_GB2312"/>
          <w:sz w:val="32"/>
          <w:szCs w:val="32"/>
        </w:rPr>
      </w:pPr>
      <w:r w:rsidRPr="00E22FA3">
        <w:rPr>
          <w:rFonts w:eastAsia="仿宋_GB2312"/>
          <w:color w:val="000000"/>
          <w:sz w:val="32"/>
          <w:szCs w:val="32"/>
        </w:rPr>
        <w:t>国家药品监督管理局</w:t>
      </w:r>
      <w:r w:rsidRPr="00E22FA3">
        <w:rPr>
          <w:rFonts w:eastAsia="仿宋_GB2312"/>
          <w:color w:val="000000"/>
          <w:sz w:val="32"/>
          <w:szCs w:val="32"/>
        </w:rPr>
        <w:t>.</w:t>
      </w:r>
      <w:r w:rsidRPr="00E22FA3">
        <w:rPr>
          <w:rFonts w:eastAsia="仿宋_GB2312"/>
          <w:color w:val="000000"/>
          <w:sz w:val="32"/>
          <w:szCs w:val="32"/>
        </w:rPr>
        <w:t>医疗器械注册申报资料要求和批准证明文件格式</w:t>
      </w:r>
      <w:r w:rsidRPr="00E22FA3">
        <w:rPr>
          <w:rFonts w:eastAsia="仿宋_GB2312"/>
          <w:color w:val="000000"/>
          <w:sz w:val="32"/>
          <w:szCs w:val="32"/>
        </w:rPr>
        <w:t>:</w:t>
      </w:r>
      <w:r w:rsidRPr="00E22FA3">
        <w:rPr>
          <w:rFonts w:eastAsia="仿宋_GB2312"/>
          <w:color w:val="000000"/>
          <w:sz w:val="32"/>
          <w:szCs w:val="32"/>
        </w:rPr>
        <w:t>关于公布医疗器械注册申报资料要求和批准证明文件格式的公告（</w:t>
      </w:r>
      <w:r w:rsidRPr="00E22FA3">
        <w:rPr>
          <w:rFonts w:eastAsia="仿宋_GB2312"/>
          <w:color w:val="000000"/>
          <w:sz w:val="32"/>
          <w:szCs w:val="32"/>
        </w:rPr>
        <w:t>2021</w:t>
      </w:r>
      <w:r w:rsidRPr="00E22FA3">
        <w:rPr>
          <w:rFonts w:eastAsia="仿宋_GB2312"/>
          <w:color w:val="000000"/>
          <w:sz w:val="32"/>
          <w:szCs w:val="32"/>
        </w:rPr>
        <w:t>年第</w:t>
      </w:r>
      <w:r w:rsidRPr="00E22FA3">
        <w:rPr>
          <w:rFonts w:eastAsia="仿宋_GB2312"/>
          <w:color w:val="000000"/>
          <w:sz w:val="32"/>
          <w:szCs w:val="32"/>
        </w:rPr>
        <w:t>121</w:t>
      </w:r>
      <w:r w:rsidRPr="00E22FA3">
        <w:rPr>
          <w:rFonts w:eastAsia="仿宋_GB2312"/>
          <w:color w:val="000000"/>
          <w:sz w:val="32"/>
          <w:szCs w:val="32"/>
        </w:rPr>
        <w:t>号）</w:t>
      </w:r>
      <w:r w:rsidRPr="00E22FA3">
        <w:rPr>
          <w:rFonts w:eastAsia="仿宋_GB2312"/>
          <w:color w:val="000000"/>
          <w:sz w:val="32"/>
          <w:szCs w:val="32"/>
        </w:rPr>
        <w:t>[Z]</w:t>
      </w:r>
    </w:p>
    <w:p w:rsidR="00F448B0" w:rsidRPr="00E22FA3" w:rsidRDefault="00F448B0" w:rsidP="006370A5">
      <w:pPr>
        <w:numPr>
          <w:ilvl w:val="0"/>
          <w:numId w:val="20"/>
        </w:numPr>
        <w:tabs>
          <w:tab w:val="clear" w:pos="0"/>
          <w:tab w:val="left" w:pos="360"/>
          <w:tab w:val="left" w:pos="952"/>
          <w:tab w:val="left" w:pos="1078"/>
          <w:tab w:val="left" w:pos="1140"/>
        </w:tabs>
        <w:autoSpaceDE w:val="0"/>
        <w:autoSpaceDN w:val="0"/>
        <w:adjustRightInd w:val="0"/>
        <w:spacing w:line="520" w:lineRule="exact"/>
        <w:ind w:firstLineChars="200" w:firstLine="640"/>
        <w:rPr>
          <w:rFonts w:eastAsia="仿宋_GB2312"/>
          <w:sz w:val="32"/>
          <w:szCs w:val="32"/>
        </w:rPr>
      </w:pPr>
      <w:r w:rsidRPr="00E22FA3">
        <w:rPr>
          <w:rFonts w:eastAsia="仿宋_GB2312"/>
          <w:sz w:val="32"/>
          <w:szCs w:val="32"/>
        </w:rPr>
        <w:t>国家食品药品监督管理总局</w:t>
      </w:r>
      <w:r w:rsidRPr="00E22FA3">
        <w:rPr>
          <w:rFonts w:eastAsia="仿宋_GB2312"/>
          <w:sz w:val="32"/>
          <w:szCs w:val="32"/>
        </w:rPr>
        <w:t>.</w:t>
      </w:r>
      <w:r w:rsidRPr="00E22FA3">
        <w:rPr>
          <w:rFonts w:eastAsia="仿宋_GB2312"/>
          <w:color w:val="000000"/>
          <w:sz w:val="32"/>
          <w:szCs w:val="32"/>
        </w:rPr>
        <w:t>医疗器械分类规则</w:t>
      </w:r>
      <w:r w:rsidRPr="00E22FA3">
        <w:rPr>
          <w:rFonts w:eastAsia="仿宋_GB2312"/>
          <w:sz w:val="32"/>
          <w:szCs w:val="32"/>
        </w:rPr>
        <w:t>:</w:t>
      </w:r>
      <w:r w:rsidRPr="00E22FA3">
        <w:rPr>
          <w:rFonts w:eastAsia="仿宋_GB2312"/>
          <w:sz w:val="32"/>
          <w:szCs w:val="32"/>
        </w:rPr>
        <w:t>国家食品药品监督管理总局令第</w:t>
      </w:r>
      <w:r w:rsidRPr="00E22FA3">
        <w:rPr>
          <w:rFonts w:eastAsia="仿宋_GB2312"/>
          <w:color w:val="000000"/>
          <w:sz w:val="32"/>
          <w:szCs w:val="32"/>
        </w:rPr>
        <w:t>15</w:t>
      </w:r>
      <w:r w:rsidRPr="00E22FA3">
        <w:rPr>
          <w:rFonts w:eastAsia="仿宋_GB2312"/>
          <w:color w:val="000000"/>
          <w:sz w:val="32"/>
          <w:szCs w:val="32"/>
        </w:rPr>
        <w:t>号</w:t>
      </w:r>
      <w:r w:rsidRPr="00E22FA3">
        <w:rPr>
          <w:rFonts w:eastAsia="仿宋_GB2312"/>
          <w:color w:val="000000"/>
          <w:sz w:val="32"/>
          <w:szCs w:val="32"/>
        </w:rPr>
        <w:t>[Z].</w:t>
      </w:r>
    </w:p>
    <w:p w:rsidR="00F448B0" w:rsidRPr="00E22FA3" w:rsidRDefault="00F448B0" w:rsidP="006370A5">
      <w:pPr>
        <w:numPr>
          <w:ilvl w:val="0"/>
          <w:numId w:val="20"/>
        </w:numPr>
        <w:tabs>
          <w:tab w:val="clear" w:pos="0"/>
          <w:tab w:val="left" w:pos="360"/>
          <w:tab w:val="left" w:pos="952"/>
          <w:tab w:val="left" w:pos="1078"/>
          <w:tab w:val="left" w:pos="1140"/>
        </w:tabs>
        <w:autoSpaceDE w:val="0"/>
        <w:autoSpaceDN w:val="0"/>
        <w:adjustRightInd w:val="0"/>
        <w:spacing w:line="520" w:lineRule="exact"/>
        <w:ind w:firstLineChars="200" w:firstLine="640"/>
        <w:rPr>
          <w:rFonts w:eastAsia="仿宋_GB2312"/>
          <w:sz w:val="32"/>
          <w:szCs w:val="32"/>
        </w:rPr>
      </w:pPr>
      <w:r w:rsidRPr="00E22FA3">
        <w:rPr>
          <w:rFonts w:eastAsia="仿宋_GB2312"/>
          <w:sz w:val="32"/>
          <w:szCs w:val="32"/>
        </w:rPr>
        <w:t>国家食品药品监督管理总局</w:t>
      </w:r>
      <w:r w:rsidRPr="00E22FA3">
        <w:rPr>
          <w:rFonts w:eastAsia="仿宋_GB2312"/>
          <w:sz w:val="32"/>
          <w:szCs w:val="32"/>
        </w:rPr>
        <w:t>.</w:t>
      </w:r>
      <w:r w:rsidRPr="00E22FA3">
        <w:rPr>
          <w:rFonts w:eastAsia="仿宋_GB2312"/>
          <w:sz w:val="32"/>
          <w:szCs w:val="32"/>
        </w:rPr>
        <w:t>医疗器械通用名称命名规则</w:t>
      </w:r>
      <w:r w:rsidRPr="00E22FA3">
        <w:rPr>
          <w:rFonts w:eastAsia="仿宋_GB2312"/>
          <w:sz w:val="32"/>
          <w:szCs w:val="32"/>
        </w:rPr>
        <w:t>:</w:t>
      </w:r>
      <w:r w:rsidRPr="00E22FA3">
        <w:rPr>
          <w:rFonts w:eastAsia="仿宋_GB2312"/>
          <w:sz w:val="32"/>
          <w:szCs w:val="32"/>
        </w:rPr>
        <w:t>国家食品药品监督管理总局令第</w:t>
      </w:r>
      <w:r w:rsidRPr="00E22FA3">
        <w:rPr>
          <w:rFonts w:eastAsia="仿宋_GB2312"/>
          <w:color w:val="000000"/>
          <w:sz w:val="32"/>
          <w:szCs w:val="32"/>
        </w:rPr>
        <w:t>19</w:t>
      </w:r>
      <w:r w:rsidRPr="00E22FA3">
        <w:rPr>
          <w:rFonts w:eastAsia="仿宋_GB2312"/>
          <w:sz w:val="32"/>
          <w:szCs w:val="32"/>
        </w:rPr>
        <w:t>号</w:t>
      </w:r>
      <w:r w:rsidRPr="00E22FA3">
        <w:rPr>
          <w:rFonts w:eastAsia="仿宋_GB2312"/>
          <w:color w:val="000000"/>
          <w:sz w:val="32"/>
          <w:szCs w:val="32"/>
        </w:rPr>
        <w:t>[Z].</w:t>
      </w:r>
    </w:p>
    <w:p w:rsidR="00F448B0" w:rsidRPr="00E22FA3" w:rsidRDefault="00F448B0" w:rsidP="006370A5">
      <w:pPr>
        <w:numPr>
          <w:ilvl w:val="0"/>
          <w:numId w:val="20"/>
        </w:numPr>
        <w:tabs>
          <w:tab w:val="clear" w:pos="0"/>
          <w:tab w:val="left" w:pos="360"/>
          <w:tab w:val="left" w:pos="952"/>
          <w:tab w:val="left" w:pos="1078"/>
          <w:tab w:val="left" w:pos="1140"/>
        </w:tabs>
        <w:autoSpaceDE w:val="0"/>
        <w:autoSpaceDN w:val="0"/>
        <w:adjustRightInd w:val="0"/>
        <w:spacing w:line="520" w:lineRule="exact"/>
        <w:ind w:firstLineChars="200" w:firstLine="640"/>
        <w:rPr>
          <w:rFonts w:eastAsia="仿宋_GB2312"/>
          <w:sz w:val="32"/>
          <w:szCs w:val="32"/>
        </w:rPr>
      </w:pPr>
      <w:r w:rsidRPr="00E22FA3">
        <w:rPr>
          <w:rFonts w:eastAsia="仿宋_GB2312"/>
          <w:sz w:val="32"/>
          <w:szCs w:val="32"/>
        </w:rPr>
        <w:t>国家药品监督管理局</w:t>
      </w:r>
      <w:r w:rsidRPr="00E22FA3">
        <w:rPr>
          <w:rFonts w:eastAsia="仿宋_GB2312"/>
          <w:sz w:val="32"/>
          <w:szCs w:val="32"/>
        </w:rPr>
        <w:t>.</w:t>
      </w:r>
      <w:r w:rsidRPr="00E22FA3">
        <w:rPr>
          <w:rFonts w:eastAsia="仿宋_GB2312"/>
          <w:color w:val="000000"/>
          <w:sz w:val="32"/>
          <w:szCs w:val="32"/>
        </w:rPr>
        <w:t>医疗器械分类目录</w:t>
      </w:r>
      <w:r w:rsidRPr="00E22FA3">
        <w:rPr>
          <w:rFonts w:eastAsia="仿宋_GB2312"/>
          <w:sz w:val="32"/>
          <w:szCs w:val="32"/>
        </w:rPr>
        <w:t>:</w:t>
      </w:r>
      <w:r w:rsidRPr="00E22FA3">
        <w:rPr>
          <w:rFonts w:eastAsia="仿宋_GB2312"/>
          <w:sz w:val="32"/>
          <w:szCs w:val="32"/>
        </w:rPr>
        <w:t>总局关于发布</w:t>
      </w:r>
      <w:r w:rsidRPr="00E22FA3">
        <w:rPr>
          <w:rFonts w:eastAsia="仿宋_GB2312"/>
          <w:color w:val="000000"/>
          <w:sz w:val="32"/>
          <w:szCs w:val="32"/>
        </w:rPr>
        <w:t>医疗器械分类目录</w:t>
      </w:r>
      <w:r w:rsidRPr="00E22FA3">
        <w:rPr>
          <w:rFonts w:eastAsia="仿宋_GB2312"/>
          <w:sz w:val="32"/>
          <w:szCs w:val="32"/>
        </w:rPr>
        <w:t>的公告（</w:t>
      </w:r>
      <w:r w:rsidRPr="00E22FA3">
        <w:rPr>
          <w:rFonts w:eastAsia="仿宋_GB2312"/>
          <w:color w:val="000000"/>
          <w:sz w:val="32"/>
          <w:szCs w:val="32"/>
        </w:rPr>
        <w:t>2017</w:t>
      </w:r>
      <w:r w:rsidRPr="00E22FA3">
        <w:rPr>
          <w:rFonts w:eastAsia="仿宋_GB2312"/>
          <w:sz w:val="32"/>
          <w:szCs w:val="32"/>
        </w:rPr>
        <w:t>年第</w:t>
      </w:r>
      <w:r w:rsidRPr="00E22FA3">
        <w:rPr>
          <w:rFonts w:eastAsia="仿宋_GB2312"/>
          <w:color w:val="000000"/>
          <w:sz w:val="32"/>
          <w:szCs w:val="32"/>
        </w:rPr>
        <w:t>104</w:t>
      </w:r>
      <w:r w:rsidRPr="00E22FA3">
        <w:rPr>
          <w:rFonts w:eastAsia="仿宋_GB2312"/>
          <w:sz w:val="32"/>
          <w:szCs w:val="32"/>
        </w:rPr>
        <w:t>号）</w:t>
      </w:r>
      <w:r w:rsidRPr="00E22FA3">
        <w:rPr>
          <w:rFonts w:eastAsia="仿宋_GB2312"/>
          <w:color w:val="000000"/>
          <w:sz w:val="32"/>
          <w:szCs w:val="32"/>
        </w:rPr>
        <w:t>[Z].</w:t>
      </w:r>
    </w:p>
    <w:p w:rsidR="00F448B0" w:rsidRPr="00E22FA3" w:rsidRDefault="00F448B0" w:rsidP="006370A5">
      <w:pPr>
        <w:numPr>
          <w:ilvl w:val="0"/>
          <w:numId w:val="20"/>
        </w:numPr>
        <w:tabs>
          <w:tab w:val="clear" w:pos="0"/>
          <w:tab w:val="left" w:pos="360"/>
          <w:tab w:val="left" w:pos="952"/>
          <w:tab w:val="left" w:pos="1078"/>
          <w:tab w:val="left" w:pos="1140"/>
        </w:tabs>
        <w:autoSpaceDE w:val="0"/>
        <w:autoSpaceDN w:val="0"/>
        <w:adjustRightInd w:val="0"/>
        <w:spacing w:line="520" w:lineRule="exact"/>
        <w:ind w:firstLineChars="200" w:firstLine="640"/>
        <w:rPr>
          <w:rFonts w:eastAsia="仿宋_GB2312"/>
          <w:sz w:val="32"/>
          <w:szCs w:val="32"/>
        </w:rPr>
      </w:pPr>
      <w:r w:rsidRPr="00E22FA3">
        <w:rPr>
          <w:rFonts w:eastAsia="仿宋_GB2312"/>
          <w:color w:val="000000"/>
          <w:sz w:val="32"/>
          <w:szCs w:val="32"/>
        </w:rPr>
        <w:t>GB/T 42062</w:t>
      </w:r>
      <w:r w:rsidRPr="00E22FA3">
        <w:rPr>
          <w:rFonts w:eastAsia="仿宋_GB2312"/>
          <w:sz w:val="32"/>
          <w:szCs w:val="32"/>
        </w:rPr>
        <w:t>,</w:t>
      </w:r>
      <w:r w:rsidRPr="00E22FA3">
        <w:rPr>
          <w:rFonts w:eastAsia="仿宋_GB2312"/>
          <w:color w:val="000000"/>
          <w:sz w:val="32"/>
          <w:szCs w:val="32"/>
        </w:rPr>
        <w:t>《医疗器械</w:t>
      </w:r>
      <w:r w:rsidRPr="00E22FA3">
        <w:rPr>
          <w:rFonts w:eastAsia="仿宋_GB2312"/>
          <w:color w:val="000000"/>
          <w:sz w:val="32"/>
          <w:szCs w:val="32"/>
        </w:rPr>
        <w:t xml:space="preserve"> </w:t>
      </w:r>
      <w:r w:rsidRPr="00E22FA3">
        <w:rPr>
          <w:rFonts w:eastAsia="仿宋_GB2312"/>
          <w:color w:val="000000"/>
          <w:sz w:val="32"/>
          <w:szCs w:val="32"/>
        </w:rPr>
        <w:t>风险管理对医疗器械应用》</w:t>
      </w:r>
      <w:r w:rsidRPr="00E22FA3">
        <w:rPr>
          <w:rFonts w:eastAsia="仿宋_GB2312"/>
          <w:color w:val="000000"/>
          <w:sz w:val="32"/>
          <w:szCs w:val="32"/>
        </w:rPr>
        <w:t>[S].</w:t>
      </w:r>
    </w:p>
    <w:p w:rsidR="00F448B0" w:rsidRPr="00E22FA3" w:rsidRDefault="00F448B0" w:rsidP="006370A5">
      <w:pPr>
        <w:numPr>
          <w:ilvl w:val="0"/>
          <w:numId w:val="20"/>
        </w:numPr>
        <w:tabs>
          <w:tab w:val="clear" w:pos="0"/>
          <w:tab w:val="left" w:pos="360"/>
          <w:tab w:val="left" w:pos="952"/>
          <w:tab w:val="left" w:pos="1078"/>
          <w:tab w:val="left" w:pos="1140"/>
        </w:tabs>
        <w:autoSpaceDE w:val="0"/>
        <w:autoSpaceDN w:val="0"/>
        <w:adjustRightInd w:val="0"/>
        <w:spacing w:line="520" w:lineRule="exact"/>
        <w:ind w:firstLineChars="200" w:firstLine="640"/>
        <w:rPr>
          <w:rFonts w:eastAsia="仿宋_GB2312"/>
          <w:sz w:val="32"/>
          <w:szCs w:val="32"/>
        </w:rPr>
      </w:pPr>
      <w:r w:rsidRPr="00E22FA3">
        <w:rPr>
          <w:rFonts w:eastAsia="仿宋_GB2312"/>
          <w:color w:val="000000"/>
          <w:sz w:val="32"/>
          <w:szCs w:val="32"/>
        </w:rPr>
        <w:t>YY/T 0771</w:t>
      </w:r>
      <w:r w:rsidRPr="00E22FA3">
        <w:rPr>
          <w:rFonts w:eastAsia="仿宋_GB2312"/>
          <w:sz w:val="32"/>
          <w:szCs w:val="32"/>
        </w:rPr>
        <w:t>,</w:t>
      </w:r>
      <w:r w:rsidRPr="00E22FA3">
        <w:rPr>
          <w:rFonts w:eastAsia="仿宋_GB2312"/>
          <w:color w:val="000000"/>
          <w:sz w:val="32"/>
          <w:szCs w:val="32"/>
        </w:rPr>
        <w:t>动物源医疗器械系列标准</w:t>
      </w:r>
      <w:r w:rsidRPr="00E22FA3">
        <w:rPr>
          <w:rFonts w:eastAsia="仿宋_GB2312"/>
          <w:color w:val="000000"/>
          <w:sz w:val="32"/>
          <w:szCs w:val="32"/>
        </w:rPr>
        <w:t>[S].</w:t>
      </w:r>
    </w:p>
    <w:p w:rsidR="00F448B0" w:rsidRPr="00E22FA3" w:rsidRDefault="00F448B0" w:rsidP="006370A5">
      <w:pPr>
        <w:numPr>
          <w:ilvl w:val="0"/>
          <w:numId w:val="20"/>
        </w:numPr>
        <w:tabs>
          <w:tab w:val="clear" w:pos="0"/>
          <w:tab w:val="left" w:pos="360"/>
          <w:tab w:val="left" w:pos="952"/>
          <w:tab w:val="left" w:pos="1078"/>
          <w:tab w:val="left" w:pos="1140"/>
        </w:tabs>
        <w:autoSpaceDE w:val="0"/>
        <w:autoSpaceDN w:val="0"/>
        <w:adjustRightInd w:val="0"/>
        <w:spacing w:line="520" w:lineRule="exact"/>
        <w:ind w:firstLineChars="200" w:firstLine="640"/>
        <w:rPr>
          <w:rFonts w:eastAsia="仿宋_GB2312"/>
          <w:sz w:val="32"/>
          <w:szCs w:val="32"/>
        </w:rPr>
      </w:pPr>
      <w:r w:rsidRPr="00E22FA3">
        <w:rPr>
          <w:rFonts w:eastAsia="仿宋_GB2312"/>
          <w:sz w:val="32"/>
          <w:szCs w:val="32"/>
        </w:rPr>
        <w:t>国家药品监督管理局</w:t>
      </w:r>
      <w:r w:rsidRPr="00E22FA3">
        <w:rPr>
          <w:rFonts w:eastAsia="仿宋_GB2312"/>
          <w:sz w:val="32"/>
          <w:szCs w:val="32"/>
        </w:rPr>
        <w:t>.</w:t>
      </w:r>
      <w:r w:rsidRPr="00E22FA3">
        <w:rPr>
          <w:rFonts w:eastAsia="仿宋_GB2312"/>
          <w:color w:val="000000"/>
          <w:spacing w:val="-1"/>
          <w:sz w:val="32"/>
          <w:szCs w:val="32"/>
        </w:rPr>
        <w:t>动物源性医疗器械注册技术审查指导原则（</w:t>
      </w:r>
      <w:r w:rsidRPr="00E22FA3">
        <w:rPr>
          <w:rFonts w:eastAsia="仿宋_GB2312"/>
          <w:color w:val="000000"/>
          <w:sz w:val="32"/>
          <w:szCs w:val="32"/>
        </w:rPr>
        <w:t>2017</w:t>
      </w:r>
      <w:r w:rsidRPr="00E22FA3">
        <w:rPr>
          <w:rFonts w:eastAsia="仿宋_GB2312"/>
          <w:color w:val="000000"/>
          <w:spacing w:val="-1"/>
          <w:sz w:val="32"/>
          <w:szCs w:val="32"/>
        </w:rPr>
        <w:t>年修订版）</w:t>
      </w:r>
      <w:r w:rsidRPr="00E22FA3">
        <w:rPr>
          <w:rFonts w:eastAsia="仿宋_GB2312"/>
          <w:sz w:val="32"/>
          <w:szCs w:val="32"/>
        </w:rPr>
        <w:t>:</w:t>
      </w:r>
      <w:r w:rsidRPr="00E22FA3">
        <w:rPr>
          <w:rFonts w:eastAsia="仿宋_GB2312"/>
          <w:sz w:val="32"/>
          <w:szCs w:val="32"/>
        </w:rPr>
        <w:t>总局关于发布动</w:t>
      </w:r>
      <w:r w:rsidRPr="00E22FA3">
        <w:rPr>
          <w:rFonts w:eastAsia="仿宋_GB2312"/>
          <w:color w:val="000000"/>
          <w:spacing w:val="-1"/>
          <w:sz w:val="32"/>
          <w:szCs w:val="32"/>
        </w:rPr>
        <w:t>物源性医疗器械注册技术审查指导原则（</w:t>
      </w:r>
      <w:r w:rsidRPr="00E22FA3">
        <w:rPr>
          <w:rFonts w:eastAsia="仿宋_GB2312"/>
          <w:color w:val="000000"/>
          <w:sz w:val="32"/>
          <w:szCs w:val="32"/>
        </w:rPr>
        <w:t>2017</w:t>
      </w:r>
      <w:r w:rsidRPr="00E22FA3">
        <w:rPr>
          <w:rFonts w:eastAsia="仿宋_GB2312"/>
          <w:color w:val="000000"/>
          <w:spacing w:val="-1"/>
          <w:sz w:val="32"/>
          <w:szCs w:val="32"/>
        </w:rPr>
        <w:t>年修订版）</w:t>
      </w:r>
      <w:r w:rsidRPr="00E22FA3">
        <w:rPr>
          <w:rFonts w:eastAsia="仿宋_GB2312"/>
          <w:sz w:val="32"/>
          <w:szCs w:val="32"/>
        </w:rPr>
        <w:t>的通告（</w:t>
      </w:r>
      <w:r w:rsidRPr="00E22FA3">
        <w:rPr>
          <w:rFonts w:eastAsia="仿宋_GB2312"/>
          <w:color w:val="000000"/>
          <w:sz w:val="32"/>
          <w:szCs w:val="32"/>
        </w:rPr>
        <w:t>2017</w:t>
      </w:r>
      <w:r w:rsidRPr="00E22FA3">
        <w:rPr>
          <w:rFonts w:eastAsia="仿宋_GB2312"/>
          <w:sz w:val="32"/>
          <w:szCs w:val="32"/>
        </w:rPr>
        <w:t>年第</w:t>
      </w:r>
      <w:r w:rsidRPr="00E22FA3">
        <w:rPr>
          <w:rFonts w:eastAsia="仿宋_GB2312"/>
          <w:color w:val="000000"/>
          <w:sz w:val="32"/>
          <w:szCs w:val="32"/>
        </w:rPr>
        <w:t>224</w:t>
      </w:r>
      <w:r w:rsidRPr="00E22FA3">
        <w:rPr>
          <w:rFonts w:eastAsia="仿宋_GB2312"/>
          <w:sz w:val="32"/>
          <w:szCs w:val="32"/>
        </w:rPr>
        <w:t>号）</w:t>
      </w:r>
      <w:r w:rsidRPr="00E22FA3">
        <w:rPr>
          <w:rFonts w:eastAsia="仿宋_GB2312"/>
          <w:color w:val="000000"/>
          <w:sz w:val="32"/>
          <w:szCs w:val="32"/>
        </w:rPr>
        <w:t>[Z].</w:t>
      </w:r>
    </w:p>
    <w:p w:rsidR="00F448B0" w:rsidRPr="00E22FA3" w:rsidRDefault="00F448B0" w:rsidP="006370A5">
      <w:pPr>
        <w:numPr>
          <w:ilvl w:val="0"/>
          <w:numId w:val="20"/>
        </w:numPr>
        <w:tabs>
          <w:tab w:val="left" w:pos="360"/>
          <w:tab w:val="left" w:pos="952"/>
          <w:tab w:val="left" w:pos="1078"/>
          <w:tab w:val="left" w:pos="1140"/>
        </w:tabs>
        <w:autoSpaceDE w:val="0"/>
        <w:autoSpaceDN w:val="0"/>
        <w:adjustRightInd w:val="0"/>
        <w:spacing w:line="520" w:lineRule="exact"/>
        <w:rPr>
          <w:rFonts w:eastAsia="仿宋_GB2312"/>
          <w:sz w:val="32"/>
          <w:szCs w:val="32"/>
        </w:rPr>
      </w:pPr>
      <w:r w:rsidRPr="00E22FA3">
        <w:rPr>
          <w:rFonts w:eastAsia="仿宋_GB2312"/>
          <w:color w:val="000000"/>
          <w:sz w:val="32"/>
          <w:szCs w:val="32"/>
        </w:rPr>
        <w:t>YY/T 1570-2007</w:t>
      </w:r>
      <w:r w:rsidRPr="00E22FA3">
        <w:rPr>
          <w:rFonts w:eastAsia="仿宋_GB2312"/>
          <w:sz w:val="32"/>
          <w:szCs w:val="32"/>
        </w:rPr>
        <w:t>,</w:t>
      </w:r>
      <w:r w:rsidRPr="00E22FA3">
        <w:rPr>
          <w:rFonts w:eastAsia="仿宋_GB2312"/>
          <w:sz w:val="32"/>
          <w:szCs w:val="32"/>
        </w:rPr>
        <w:t>组织工程医疗器械产品</w:t>
      </w:r>
      <w:r w:rsidRPr="00E22FA3">
        <w:rPr>
          <w:rFonts w:eastAsia="仿宋_GB2312"/>
          <w:sz w:val="32"/>
          <w:szCs w:val="32"/>
        </w:rPr>
        <w:t>+</w:t>
      </w:r>
      <w:r w:rsidRPr="00E22FA3">
        <w:rPr>
          <w:rFonts w:eastAsia="仿宋_GB2312"/>
          <w:sz w:val="32"/>
          <w:szCs w:val="32"/>
        </w:rPr>
        <w:t>皮肤替代品（物）的术语、分类和命名</w:t>
      </w:r>
      <w:r w:rsidRPr="00E22FA3">
        <w:rPr>
          <w:rFonts w:eastAsia="仿宋_GB2312"/>
          <w:sz w:val="32"/>
          <w:szCs w:val="32"/>
        </w:rPr>
        <w:t>[</w:t>
      </w:r>
      <w:r w:rsidRPr="00E22FA3">
        <w:rPr>
          <w:rFonts w:eastAsia="仿宋_GB2312"/>
          <w:color w:val="000000"/>
          <w:sz w:val="32"/>
          <w:szCs w:val="32"/>
        </w:rPr>
        <w:t>S</w:t>
      </w:r>
      <w:r w:rsidRPr="00E22FA3">
        <w:rPr>
          <w:rFonts w:eastAsia="仿宋_GB2312"/>
          <w:sz w:val="32"/>
          <w:szCs w:val="32"/>
        </w:rPr>
        <w:t>].</w:t>
      </w:r>
    </w:p>
    <w:p w:rsidR="00F448B0" w:rsidRPr="00E22FA3" w:rsidRDefault="00F448B0" w:rsidP="006370A5">
      <w:pPr>
        <w:numPr>
          <w:ilvl w:val="0"/>
          <w:numId w:val="20"/>
        </w:numPr>
        <w:tabs>
          <w:tab w:val="left" w:pos="360"/>
          <w:tab w:val="left" w:pos="952"/>
          <w:tab w:val="left" w:pos="1078"/>
          <w:tab w:val="left" w:pos="1140"/>
        </w:tabs>
        <w:autoSpaceDE w:val="0"/>
        <w:autoSpaceDN w:val="0"/>
        <w:adjustRightInd w:val="0"/>
        <w:spacing w:line="520" w:lineRule="exact"/>
        <w:rPr>
          <w:rFonts w:eastAsia="仿宋_GB2312"/>
          <w:sz w:val="32"/>
          <w:szCs w:val="32"/>
        </w:rPr>
      </w:pPr>
      <w:r w:rsidRPr="00E22FA3">
        <w:rPr>
          <w:rFonts w:eastAsia="仿宋_GB2312"/>
          <w:sz w:val="32"/>
          <w:szCs w:val="32"/>
        </w:rPr>
        <w:t>国家药品监督管理局</w:t>
      </w:r>
      <w:r w:rsidRPr="00E22FA3">
        <w:rPr>
          <w:rFonts w:eastAsia="仿宋_GB2312"/>
          <w:sz w:val="32"/>
          <w:szCs w:val="32"/>
        </w:rPr>
        <w:t>.</w:t>
      </w:r>
      <w:r w:rsidRPr="00E22FA3">
        <w:rPr>
          <w:rFonts w:eastAsia="仿宋_GB2312"/>
          <w:sz w:val="32"/>
          <w:szCs w:val="32"/>
        </w:rPr>
        <w:t>医疗器械产品技术要求编写指导原则</w:t>
      </w:r>
      <w:r w:rsidRPr="00E22FA3">
        <w:rPr>
          <w:rFonts w:eastAsia="仿宋_GB2312"/>
          <w:sz w:val="32"/>
          <w:szCs w:val="32"/>
        </w:rPr>
        <w:t>:</w:t>
      </w:r>
      <w:r w:rsidRPr="00E22FA3">
        <w:rPr>
          <w:rFonts w:eastAsia="仿宋_GB2312"/>
          <w:sz w:val="32"/>
          <w:szCs w:val="32"/>
        </w:rPr>
        <w:t>国家药监局关于发布医疗器械产品技术要求编写指导原则的通告（</w:t>
      </w:r>
      <w:r w:rsidRPr="00E22FA3">
        <w:rPr>
          <w:rFonts w:eastAsia="仿宋_GB2312"/>
          <w:color w:val="000000"/>
          <w:sz w:val="32"/>
          <w:szCs w:val="32"/>
        </w:rPr>
        <w:t>2022</w:t>
      </w:r>
      <w:r w:rsidRPr="00E22FA3">
        <w:rPr>
          <w:rFonts w:eastAsia="仿宋_GB2312"/>
          <w:sz w:val="32"/>
          <w:szCs w:val="32"/>
        </w:rPr>
        <w:t>年第</w:t>
      </w:r>
      <w:r w:rsidRPr="00E22FA3">
        <w:rPr>
          <w:rFonts w:eastAsia="仿宋_GB2312"/>
          <w:color w:val="000000"/>
          <w:sz w:val="32"/>
          <w:szCs w:val="32"/>
        </w:rPr>
        <w:t>8</w:t>
      </w:r>
      <w:r w:rsidRPr="00E22FA3">
        <w:rPr>
          <w:rFonts w:eastAsia="仿宋_GB2312"/>
          <w:sz w:val="32"/>
          <w:szCs w:val="32"/>
        </w:rPr>
        <w:t>号）</w:t>
      </w:r>
      <w:r w:rsidRPr="00E22FA3">
        <w:rPr>
          <w:rFonts w:eastAsia="仿宋_GB2312"/>
          <w:color w:val="000000"/>
          <w:sz w:val="32"/>
          <w:szCs w:val="32"/>
        </w:rPr>
        <w:t>[Z].</w:t>
      </w:r>
    </w:p>
    <w:p w:rsidR="00F448B0" w:rsidRPr="00E22FA3" w:rsidRDefault="00F448B0" w:rsidP="006370A5">
      <w:pPr>
        <w:numPr>
          <w:ilvl w:val="0"/>
          <w:numId w:val="20"/>
        </w:numPr>
        <w:tabs>
          <w:tab w:val="left" w:pos="360"/>
          <w:tab w:val="left" w:pos="952"/>
          <w:tab w:val="left" w:pos="1078"/>
          <w:tab w:val="left" w:pos="1140"/>
        </w:tabs>
        <w:autoSpaceDE w:val="0"/>
        <w:autoSpaceDN w:val="0"/>
        <w:adjustRightInd w:val="0"/>
        <w:spacing w:line="520" w:lineRule="exact"/>
        <w:rPr>
          <w:rFonts w:eastAsia="仿宋_GB2312"/>
          <w:sz w:val="32"/>
          <w:szCs w:val="32"/>
        </w:rPr>
      </w:pPr>
      <w:r w:rsidRPr="00E22FA3">
        <w:rPr>
          <w:rFonts w:eastAsia="仿宋_GB2312"/>
          <w:color w:val="000000"/>
          <w:sz w:val="32"/>
          <w:szCs w:val="32"/>
        </w:rPr>
        <w:t>YY/T 1616-2018</w:t>
      </w:r>
      <w:r w:rsidRPr="00E22FA3">
        <w:rPr>
          <w:rFonts w:eastAsia="仿宋_GB2312"/>
          <w:sz w:val="32"/>
          <w:szCs w:val="32"/>
        </w:rPr>
        <w:t>,</w:t>
      </w:r>
      <w:r w:rsidRPr="00E22FA3">
        <w:rPr>
          <w:rFonts w:eastAsia="仿宋_GB2312"/>
          <w:sz w:val="32"/>
          <w:szCs w:val="32"/>
        </w:rPr>
        <w:t>组织工程医疗器械产品</w:t>
      </w:r>
      <w:r w:rsidRPr="00E22FA3">
        <w:rPr>
          <w:rFonts w:eastAsia="仿宋_GB2312"/>
          <w:sz w:val="32"/>
          <w:szCs w:val="32"/>
        </w:rPr>
        <w:t xml:space="preserve"> </w:t>
      </w:r>
      <w:r w:rsidRPr="00E22FA3">
        <w:rPr>
          <w:rFonts w:eastAsia="仿宋_GB2312"/>
          <w:sz w:val="32"/>
          <w:szCs w:val="32"/>
        </w:rPr>
        <w:t>生物材料支架的性能和测试指南</w:t>
      </w:r>
      <w:r w:rsidRPr="00E22FA3">
        <w:rPr>
          <w:rFonts w:eastAsia="仿宋_GB2312"/>
          <w:sz w:val="32"/>
          <w:szCs w:val="32"/>
        </w:rPr>
        <w:t>[S].</w:t>
      </w:r>
    </w:p>
    <w:p w:rsidR="00F448B0" w:rsidRPr="00E22FA3" w:rsidRDefault="00F448B0" w:rsidP="006370A5">
      <w:pPr>
        <w:numPr>
          <w:ilvl w:val="0"/>
          <w:numId w:val="20"/>
        </w:numPr>
        <w:tabs>
          <w:tab w:val="left" w:pos="360"/>
          <w:tab w:val="left" w:pos="952"/>
          <w:tab w:val="left" w:pos="1078"/>
          <w:tab w:val="left" w:pos="1140"/>
        </w:tabs>
        <w:autoSpaceDE w:val="0"/>
        <w:autoSpaceDN w:val="0"/>
        <w:adjustRightInd w:val="0"/>
        <w:spacing w:line="520" w:lineRule="exact"/>
        <w:rPr>
          <w:rFonts w:eastAsia="仿宋_GB2312"/>
          <w:sz w:val="32"/>
          <w:szCs w:val="32"/>
        </w:rPr>
      </w:pPr>
      <w:r w:rsidRPr="00E22FA3">
        <w:rPr>
          <w:rFonts w:eastAsia="仿宋_GB2312"/>
          <w:sz w:val="32"/>
          <w:szCs w:val="32"/>
        </w:rPr>
        <w:t>YY/T 1453-2016,</w:t>
      </w:r>
      <w:r w:rsidRPr="00E22FA3">
        <w:rPr>
          <w:rFonts w:eastAsia="仿宋_GB2312"/>
          <w:sz w:val="32"/>
          <w:szCs w:val="32"/>
        </w:rPr>
        <w:t>组织工程医疗器械产品</w:t>
      </w:r>
      <w:r w:rsidRPr="00E22FA3">
        <w:rPr>
          <w:rFonts w:eastAsia="仿宋_GB2312"/>
          <w:sz w:val="32"/>
          <w:szCs w:val="32"/>
        </w:rPr>
        <w:t>Ⅰ</w:t>
      </w:r>
      <w:r w:rsidRPr="00E22FA3">
        <w:rPr>
          <w:rFonts w:eastAsia="仿宋_GB2312"/>
          <w:sz w:val="32"/>
          <w:szCs w:val="32"/>
        </w:rPr>
        <w:t>型胶原蛋白表征方法</w:t>
      </w:r>
      <w:r w:rsidRPr="00E22FA3">
        <w:rPr>
          <w:rFonts w:eastAsia="仿宋_GB2312"/>
          <w:sz w:val="32"/>
          <w:szCs w:val="32"/>
        </w:rPr>
        <w:t>[S].</w:t>
      </w:r>
    </w:p>
    <w:p w:rsidR="00F448B0" w:rsidRPr="00E22FA3" w:rsidRDefault="00F448B0" w:rsidP="006370A5">
      <w:pPr>
        <w:numPr>
          <w:ilvl w:val="0"/>
          <w:numId w:val="20"/>
        </w:numPr>
        <w:tabs>
          <w:tab w:val="left" w:pos="360"/>
          <w:tab w:val="left" w:pos="952"/>
          <w:tab w:val="left" w:pos="1078"/>
          <w:tab w:val="left" w:pos="1140"/>
        </w:tabs>
        <w:autoSpaceDE w:val="0"/>
        <w:autoSpaceDN w:val="0"/>
        <w:adjustRightInd w:val="0"/>
        <w:spacing w:line="520" w:lineRule="exact"/>
        <w:rPr>
          <w:rFonts w:eastAsia="仿宋_GB2312"/>
          <w:sz w:val="32"/>
          <w:szCs w:val="32"/>
        </w:rPr>
      </w:pPr>
      <w:r w:rsidRPr="00E22FA3">
        <w:rPr>
          <w:rFonts w:eastAsia="仿宋_GB2312"/>
          <w:sz w:val="32"/>
          <w:szCs w:val="32"/>
        </w:rPr>
        <w:t>YY/T 1810-2022,</w:t>
      </w:r>
      <w:r w:rsidRPr="00E22FA3">
        <w:rPr>
          <w:rFonts w:eastAsia="仿宋_GB2312"/>
          <w:sz w:val="32"/>
          <w:szCs w:val="32"/>
        </w:rPr>
        <w:t>组织工程医疗产品</w:t>
      </w:r>
      <w:r w:rsidRPr="00E22FA3">
        <w:rPr>
          <w:rFonts w:eastAsia="仿宋_GB2312"/>
          <w:sz w:val="32"/>
          <w:szCs w:val="32"/>
        </w:rPr>
        <w:t>+</w:t>
      </w:r>
      <w:r w:rsidRPr="00E22FA3">
        <w:rPr>
          <w:rFonts w:eastAsia="仿宋_GB2312"/>
          <w:sz w:val="32"/>
          <w:szCs w:val="32"/>
        </w:rPr>
        <w:t>用以评价软骨形成的硫酸糖胺聚糖</w:t>
      </w:r>
      <w:r w:rsidRPr="00E22FA3">
        <w:rPr>
          <w:rFonts w:eastAsia="仿宋_GB2312"/>
          <w:sz w:val="32"/>
          <w:szCs w:val="32"/>
        </w:rPr>
        <w:t>(sGAG)</w:t>
      </w:r>
      <w:r w:rsidRPr="00E22FA3">
        <w:rPr>
          <w:rFonts w:eastAsia="仿宋_GB2312"/>
          <w:sz w:val="32"/>
          <w:szCs w:val="32"/>
        </w:rPr>
        <w:t>的定量检测</w:t>
      </w:r>
      <w:r w:rsidRPr="00E22FA3">
        <w:rPr>
          <w:rFonts w:eastAsia="仿宋_GB2312"/>
          <w:sz w:val="32"/>
          <w:szCs w:val="32"/>
        </w:rPr>
        <w:t>[S]</w:t>
      </w:r>
    </w:p>
    <w:p w:rsidR="00F448B0" w:rsidRPr="00E22FA3" w:rsidRDefault="00F448B0" w:rsidP="006370A5">
      <w:pPr>
        <w:numPr>
          <w:ilvl w:val="0"/>
          <w:numId w:val="20"/>
        </w:numPr>
        <w:tabs>
          <w:tab w:val="left" w:pos="360"/>
          <w:tab w:val="left" w:pos="952"/>
          <w:tab w:val="left" w:pos="1078"/>
          <w:tab w:val="left" w:pos="1140"/>
        </w:tabs>
        <w:autoSpaceDE w:val="0"/>
        <w:autoSpaceDN w:val="0"/>
        <w:adjustRightInd w:val="0"/>
        <w:spacing w:line="520" w:lineRule="exact"/>
        <w:rPr>
          <w:rFonts w:eastAsia="仿宋_GB2312"/>
          <w:sz w:val="32"/>
          <w:szCs w:val="32"/>
        </w:rPr>
      </w:pPr>
      <w:r w:rsidRPr="00E22FA3">
        <w:rPr>
          <w:rFonts w:eastAsia="仿宋_GB2312"/>
          <w:sz w:val="32"/>
          <w:szCs w:val="32"/>
        </w:rPr>
        <w:t>ASTM F3354-19,Standard Guide for Evaluating Extracellular Matrix Decellularization Processes.[S].</w:t>
      </w:r>
    </w:p>
    <w:p w:rsidR="00F448B0" w:rsidRPr="00E22FA3" w:rsidRDefault="00F448B0" w:rsidP="006370A5">
      <w:pPr>
        <w:numPr>
          <w:ilvl w:val="0"/>
          <w:numId w:val="20"/>
        </w:numPr>
        <w:tabs>
          <w:tab w:val="left" w:pos="360"/>
          <w:tab w:val="left" w:pos="952"/>
          <w:tab w:val="left" w:pos="1078"/>
          <w:tab w:val="left" w:pos="1140"/>
        </w:tabs>
        <w:autoSpaceDE w:val="0"/>
        <w:autoSpaceDN w:val="0"/>
        <w:adjustRightInd w:val="0"/>
        <w:spacing w:line="520" w:lineRule="exact"/>
        <w:rPr>
          <w:rFonts w:eastAsia="仿宋_GB2312"/>
          <w:sz w:val="32"/>
          <w:szCs w:val="32"/>
        </w:rPr>
      </w:pPr>
      <w:r w:rsidRPr="00E22FA3">
        <w:rPr>
          <w:rFonts w:eastAsia="仿宋_GB2312"/>
          <w:sz w:val="32"/>
          <w:szCs w:val="32"/>
        </w:rPr>
        <w:t>GB/T 16886,</w:t>
      </w:r>
      <w:r w:rsidRPr="00E22FA3">
        <w:rPr>
          <w:rFonts w:eastAsia="仿宋_GB2312"/>
          <w:sz w:val="32"/>
          <w:szCs w:val="32"/>
        </w:rPr>
        <w:t>医疗器械生物学评价系列标准</w:t>
      </w:r>
      <w:r w:rsidRPr="00E22FA3">
        <w:rPr>
          <w:rFonts w:eastAsia="仿宋_GB2312"/>
          <w:sz w:val="32"/>
          <w:szCs w:val="32"/>
        </w:rPr>
        <w:t>[S].</w:t>
      </w:r>
    </w:p>
    <w:p w:rsidR="00F448B0" w:rsidRPr="00E22FA3" w:rsidRDefault="00F448B0" w:rsidP="006370A5">
      <w:pPr>
        <w:numPr>
          <w:ilvl w:val="0"/>
          <w:numId w:val="20"/>
        </w:numPr>
        <w:tabs>
          <w:tab w:val="left" w:pos="360"/>
          <w:tab w:val="left" w:pos="952"/>
          <w:tab w:val="left" w:pos="1078"/>
          <w:tab w:val="left" w:pos="1140"/>
        </w:tabs>
        <w:autoSpaceDE w:val="0"/>
        <w:autoSpaceDN w:val="0"/>
        <w:adjustRightInd w:val="0"/>
        <w:spacing w:line="520" w:lineRule="exact"/>
        <w:rPr>
          <w:rFonts w:eastAsia="仿宋_GB2312"/>
          <w:sz w:val="32"/>
          <w:szCs w:val="32"/>
        </w:rPr>
      </w:pPr>
      <w:r w:rsidRPr="00E22FA3">
        <w:rPr>
          <w:rFonts w:eastAsia="仿宋_GB2312"/>
          <w:sz w:val="32"/>
          <w:szCs w:val="32"/>
        </w:rPr>
        <w:t>YY/T 1576,</w:t>
      </w:r>
      <w:r w:rsidRPr="00E22FA3">
        <w:rPr>
          <w:rFonts w:eastAsia="仿宋_GB2312"/>
          <w:sz w:val="32"/>
          <w:szCs w:val="32"/>
        </w:rPr>
        <w:t>组织工程医疗器械产品可吸收材料植入试验</w:t>
      </w:r>
      <w:r w:rsidRPr="00E22FA3">
        <w:rPr>
          <w:rFonts w:eastAsia="仿宋_GB2312"/>
          <w:sz w:val="32"/>
          <w:szCs w:val="32"/>
        </w:rPr>
        <w:t>[S].</w:t>
      </w:r>
    </w:p>
    <w:p w:rsidR="00F448B0" w:rsidRPr="00E22FA3" w:rsidRDefault="00F448B0" w:rsidP="006370A5">
      <w:pPr>
        <w:numPr>
          <w:ilvl w:val="0"/>
          <w:numId w:val="20"/>
        </w:numPr>
        <w:tabs>
          <w:tab w:val="left" w:pos="360"/>
          <w:tab w:val="left" w:pos="952"/>
          <w:tab w:val="left" w:pos="1078"/>
          <w:tab w:val="left" w:pos="1140"/>
        </w:tabs>
        <w:autoSpaceDE w:val="0"/>
        <w:autoSpaceDN w:val="0"/>
        <w:adjustRightInd w:val="0"/>
        <w:spacing w:line="520" w:lineRule="exact"/>
        <w:rPr>
          <w:rFonts w:eastAsia="仿宋_GB2312"/>
          <w:sz w:val="32"/>
          <w:szCs w:val="32"/>
        </w:rPr>
      </w:pPr>
      <w:r w:rsidRPr="00E22FA3">
        <w:rPr>
          <w:rFonts w:eastAsia="仿宋_GB2312"/>
          <w:sz w:val="32"/>
          <w:szCs w:val="32"/>
        </w:rPr>
        <w:t>YY/T 1465,</w:t>
      </w:r>
      <w:r w:rsidRPr="00E22FA3">
        <w:rPr>
          <w:rFonts w:eastAsia="仿宋_GB2312"/>
          <w:sz w:val="32"/>
          <w:szCs w:val="32"/>
        </w:rPr>
        <w:t>医疗器械免疫原性评价方法</w:t>
      </w:r>
      <w:r w:rsidRPr="00E22FA3">
        <w:rPr>
          <w:rFonts w:eastAsia="仿宋_GB2312"/>
          <w:sz w:val="32"/>
          <w:szCs w:val="32"/>
        </w:rPr>
        <w:t xml:space="preserve"> </w:t>
      </w:r>
      <w:r w:rsidRPr="00E22FA3">
        <w:rPr>
          <w:rFonts w:eastAsia="仿宋_GB2312"/>
          <w:sz w:val="32"/>
          <w:szCs w:val="32"/>
        </w:rPr>
        <w:t>系列标准</w:t>
      </w:r>
      <w:r w:rsidRPr="00E22FA3">
        <w:rPr>
          <w:rFonts w:eastAsia="仿宋_GB2312"/>
          <w:sz w:val="32"/>
          <w:szCs w:val="32"/>
        </w:rPr>
        <w:t>[S].</w:t>
      </w:r>
    </w:p>
    <w:p w:rsidR="00F448B0" w:rsidRPr="00E22FA3" w:rsidRDefault="00F448B0" w:rsidP="006370A5">
      <w:pPr>
        <w:numPr>
          <w:ilvl w:val="0"/>
          <w:numId w:val="20"/>
        </w:numPr>
        <w:tabs>
          <w:tab w:val="left" w:pos="360"/>
          <w:tab w:val="left" w:pos="952"/>
          <w:tab w:val="left" w:pos="1078"/>
          <w:tab w:val="left" w:pos="1140"/>
        </w:tabs>
        <w:autoSpaceDE w:val="0"/>
        <w:autoSpaceDN w:val="0"/>
        <w:adjustRightInd w:val="0"/>
        <w:spacing w:line="520" w:lineRule="exact"/>
        <w:rPr>
          <w:rFonts w:eastAsia="仿宋_GB2312"/>
          <w:sz w:val="32"/>
          <w:szCs w:val="32"/>
        </w:rPr>
      </w:pPr>
      <w:r w:rsidRPr="00E22FA3">
        <w:rPr>
          <w:rFonts w:eastAsia="仿宋_GB2312"/>
          <w:sz w:val="32"/>
          <w:szCs w:val="32"/>
        </w:rPr>
        <w:t>YY/T 1876-2023,</w:t>
      </w:r>
      <w:r w:rsidRPr="00E22FA3">
        <w:rPr>
          <w:rFonts w:eastAsia="仿宋_GB2312"/>
          <w:sz w:val="32"/>
          <w:szCs w:val="32"/>
        </w:rPr>
        <w:t>组织工程医疗产品</w:t>
      </w:r>
      <w:r w:rsidRPr="00E22FA3">
        <w:rPr>
          <w:rFonts w:eastAsia="仿宋_GB2312"/>
          <w:sz w:val="32"/>
          <w:szCs w:val="32"/>
        </w:rPr>
        <w:t xml:space="preserve"> </w:t>
      </w:r>
      <w:r w:rsidRPr="00E22FA3">
        <w:rPr>
          <w:rFonts w:eastAsia="仿宋_GB2312"/>
          <w:sz w:val="32"/>
          <w:szCs w:val="32"/>
        </w:rPr>
        <w:t>动物源性生物材料</w:t>
      </w:r>
      <w:r w:rsidRPr="00E22FA3">
        <w:rPr>
          <w:rFonts w:eastAsia="仿宋_GB2312"/>
          <w:sz w:val="32"/>
          <w:szCs w:val="32"/>
        </w:rPr>
        <w:t>DNA</w:t>
      </w:r>
      <w:r w:rsidRPr="00E22FA3">
        <w:rPr>
          <w:rFonts w:eastAsia="仿宋_GB2312"/>
          <w:sz w:val="32"/>
          <w:szCs w:val="32"/>
        </w:rPr>
        <w:t>残留量测定法：荧光染色法</w:t>
      </w:r>
      <w:r w:rsidRPr="00E22FA3">
        <w:rPr>
          <w:rFonts w:eastAsia="仿宋_GB2312"/>
          <w:sz w:val="32"/>
          <w:szCs w:val="32"/>
        </w:rPr>
        <w:t>[S].</w:t>
      </w:r>
    </w:p>
    <w:p w:rsidR="00F448B0" w:rsidRPr="00E22FA3" w:rsidRDefault="00F448B0" w:rsidP="006370A5">
      <w:pPr>
        <w:numPr>
          <w:ilvl w:val="0"/>
          <w:numId w:val="20"/>
        </w:numPr>
        <w:tabs>
          <w:tab w:val="left" w:pos="360"/>
          <w:tab w:val="left" w:pos="952"/>
          <w:tab w:val="left" w:pos="1078"/>
          <w:tab w:val="left" w:pos="1140"/>
        </w:tabs>
        <w:autoSpaceDE w:val="0"/>
        <w:autoSpaceDN w:val="0"/>
        <w:adjustRightInd w:val="0"/>
        <w:spacing w:line="520" w:lineRule="exact"/>
        <w:rPr>
          <w:rFonts w:eastAsia="仿宋_GB2312"/>
          <w:sz w:val="32"/>
          <w:szCs w:val="32"/>
        </w:rPr>
      </w:pPr>
      <w:r w:rsidRPr="00E22FA3">
        <w:rPr>
          <w:rFonts w:eastAsia="仿宋_GB2312"/>
          <w:sz w:val="32"/>
          <w:szCs w:val="32"/>
        </w:rPr>
        <w:t>YY/T 1561-2017,</w:t>
      </w:r>
      <w:r w:rsidRPr="00E22FA3">
        <w:rPr>
          <w:rFonts w:eastAsia="仿宋_GB2312"/>
          <w:sz w:val="32"/>
          <w:szCs w:val="32"/>
        </w:rPr>
        <w:t>组织工程医疗器械产品</w:t>
      </w:r>
      <w:r w:rsidRPr="00E22FA3">
        <w:rPr>
          <w:rFonts w:eastAsia="仿宋_GB2312"/>
          <w:sz w:val="32"/>
          <w:szCs w:val="32"/>
        </w:rPr>
        <w:t xml:space="preserve"> </w:t>
      </w:r>
      <w:r w:rsidRPr="00E22FA3">
        <w:rPr>
          <w:rFonts w:eastAsia="仿宋_GB2312"/>
          <w:sz w:val="32"/>
          <w:szCs w:val="32"/>
        </w:rPr>
        <w:t>动物源性支架材料残留</w:t>
      </w:r>
      <w:r w:rsidRPr="00E22FA3">
        <w:rPr>
          <w:rFonts w:eastAsia="仿宋_GB2312"/>
          <w:sz w:val="32"/>
          <w:szCs w:val="32"/>
        </w:rPr>
        <w:t>α-Gal</w:t>
      </w:r>
      <w:r w:rsidRPr="00E22FA3">
        <w:rPr>
          <w:rFonts w:eastAsia="仿宋_GB2312"/>
          <w:sz w:val="32"/>
          <w:szCs w:val="32"/>
        </w:rPr>
        <w:t>抗原检测</w:t>
      </w:r>
      <w:r w:rsidRPr="00E22FA3">
        <w:rPr>
          <w:rFonts w:eastAsia="仿宋_GB2312"/>
          <w:sz w:val="32"/>
          <w:szCs w:val="32"/>
        </w:rPr>
        <w:t>[S].</w:t>
      </w:r>
    </w:p>
    <w:p w:rsidR="00F448B0" w:rsidRPr="00E22FA3" w:rsidRDefault="00F448B0" w:rsidP="006370A5">
      <w:pPr>
        <w:numPr>
          <w:ilvl w:val="0"/>
          <w:numId w:val="20"/>
        </w:numPr>
        <w:tabs>
          <w:tab w:val="clear" w:pos="0"/>
          <w:tab w:val="left" w:pos="360"/>
          <w:tab w:val="left" w:pos="952"/>
          <w:tab w:val="left" w:pos="1078"/>
          <w:tab w:val="left" w:pos="1140"/>
        </w:tabs>
        <w:autoSpaceDE w:val="0"/>
        <w:autoSpaceDN w:val="0"/>
        <w:adjustRightInd w:val="0"/>
        <w:spacing w:line="520" w:lineRule="exact"/>
        <w:rPr>
          <w:rFonts w:eastAsia="仿宋_GB2312"/>
          <w:sz w:val="32"/>
          <w:szCs w:val="32"/>
        </w:rPr>
      </w:pPr>
      <w:r w:rsidRPr="00E22FA3">
        <w:rPr>
          <w:rFonts w:eastAsia="仿宋_GB2312"/>
          <w:sz w:val="32"/>
          <w:szCs w:val="32"/>
        </w:rPr>
        <w:t>国家药品监督管理局</w:t>
      </w:r>
      <w:r w:rsidRPr="00E22FA3">
        <w:rPr>
          <w:rFonts w:eastAsia="仿宋_GB2312"/>
          <w:sz w:val="32"/>
          <w:szCs w:val="32"/>
        </w:rPr>
        <w:t>.</w:t>
      </w:r>
      <w:r w:rsidRPr="00E22FA3">
        <w:rPr>
          <w:rFonts w:eastAsia="仿宋_GB2312"/>
          <w:sz w:val="32"/>
          <w:szCs w:val="32"/>
        </w:rPr>
        <w:t>医疗器械动物试验研究注册审查指导原则</w:t>
      </w:r>
      <w:r w:rsidRPr="00E22FA3">
        <w:rPr>
          <w:rFonts w:eastAsia="仿宋_GB2312"/>
          <w:sz w:val="32"/>
          <w:szCs w:val="32"/>
        </w:rPr>
        <w:t xml:space="preserve"> </w:t>
      </w:r>
      <w:r w:rsidRPr="00E22FA3">
        <w:rPr>
          <w:rFonts w:eastAsia="仿宋_GB2312"/>
          <w:sz w:val="32"/>
          <w:szCs w:val="32"/>
        </w:rPr>
        <w:t>第一部分：决策原则（</w:t>
      </w:r>
      <w:r w:rsidRPr="00E22FA3">
        <w:rPr>
          <w:rFonts w:eastAsia="仿宋_GB2312"/>
          <w:sz w:val="32"/>
          <w:szCs w:val="32"/>
        </w:rPr>
        <w:t>2021</w:t>
      </w:r>
      <w:r w:rsidRPr="00E22FA3">
        <w:rPr>
          <w:rFonts w:eastAsia="仿宋_GB2312"/>
          <w:sz w:val="32"/>
          <w:szCs w:val="32"/>
        </w:rPr>
        <w:t>年修订版）</w:t>
      </w:r>
      <w:r w:rsidRPr="00E22FA3">
        <w:rPr>
          <w:rFonts w:eastAsia="仿宋_GB2312"/>
          <w:sz w:val="32"/>
          <w:szCs w:val="32"/>
        </w:rPr>
        <w:t>:</w:t>
      </w:r>
      <w:r w:rsidRPr="00E22FA3">
        <w:rPr>
          <w:rFonts w:eastAsia="仿宋_GB2312"/>
          <w:sz w:val="32"/>
          <w:szCs w:val="32"/>
        </w:rPr>
        <w:t>国家药监局关于发布医疗器械动物试验研究注册审查指导原则</w:t>
      </w:r>
      <w:r w:rsidRPr="00E22FA3">
        <w:rPr>
          <w:rFonts w:eastAsia="仿宋_GB2312"/>
          <w:sz w:val="32"/>
          <w:szCs w:val="32"/>
        </w:rPr>
        <w:t xml:space="preserve"> </w:t>
      </w:r>
      <w:r w:rsidRPr="00E22FA3">
        <w:rPr>
          <w:rFonts w:eastAsia="仿宋_GB2312"/>
          <w:sz w:val="32"/>
          <w:szCs w:val="32"/>
        </w:rPr>
        <w:t>第一部分：决策原则（</w:t>
      </w:r>
      <w:r w:rsidRPr="00E22FA3">
        <w:rPr>
          <w:rFonts w:eastAsia="仿宋_GB2312"/>
          <w:sz w:val="32"/>
          <w:szCs w:val="32"/>
        </w:rPr>
        <w:t>2021</w:t>
      </w:r>
      <w:r w:rsidRPr="00E22FA3">
        <w:rPr>
          <w:rFonts w:eastAsia="仿宋_GB2312"/>
          <w:sz w:val="32"/>
          <w:szCs w:val="32"/>
        </w:rPr>
        <w:t>年修订版）等</w:t>
      </w:r>
      <w:r w:rsidRPr="00E22FA3">
        <w:rPr>
          <w:rFonts w:eastAsia="仿宋_GB2312"/>
          <w:sz w:val="32"/>
          <w:szCs w:val="32"/>
        </w:rPr>
        <w:t>2</w:t>
      </w:r>
      <w:r w:rsidRPr="00E22FA3">
        <w:rPr>
          <w:rFonts w:eastAsia="仿宋_GB2312"/>
          <w:sz w:val="32"/>
          <w:szCs w:val="32"/>
        </w:rPr>
        <w:t>项注册审查指导原则的通告（</w:t>
      </w:r>
      <w:r w:rsidRPr="00E22FA3">
        <w:rPr>
          <w:rFonts w:eastAsia="仿宋_GB2312"/>
          <w:sz w:val="32"/>
          <w:szCs w:val="32"/>
        </w:rPr>
        <w:t>2021</w:t>
      </w:r>
      <w:r w:rsidRPr="00E22FA3">
        <w:rPr>
          <w:rFonts w:eastAsia="仿宋_GB2312"/>
          <w:sz w:val="32"/>
          <w:szCs w:val="32"/>
        </w:rPr>
        <w:t>年第</w:t>
      </w:r>
      <w:r w:rsidRPr="00E22FA3">
        <w:rPr>
          <w:rFonts w:eastAsia="仿宋_GB2312"/>
          <w:sz w:val="32"/>
          <w:szCs w:val="32"/>
        </w:rPr>
        <w:t>75</w:t>
      </w:r>
      <w:r w:rsidRPr="00E22FA3">
        <w:rPr>
          <w:rFonts w:eastAsia="仿宋_GB2312"/>
          <w:sz w:val="32"/>
          <w:szCs w:val="32"/>
        </w:rPr>
        <w:t>号）</w:t>
      </w:r>
      <w:r w:rsidRPr="00E22FA3">
        <w:rPr>
          <w:rFonts w:eastAsia="仿宋_GB2312"/>
          <w:color w:val="000000"/>
          <w:sz w:val="32"/>
          <w:szCs w:val="32"/>
        </w:rPr>
        <w:t>[</w:t>
      </w:r>
      <w:r w:rsidRPr="00E22FA3">
        <w:rPr>
          <w:rFonts w:eastAsia="仿宋_GB2312"/>
          <w:sz w:val="32"/>
          <w:szCs w:val="32"/>
        </w:rPr>
        <w:t>Z]</w:t>
      </w:r>
      <w:r w:rsidRPr="00E22FA3">
        <w:rPr>
          <w:rFonts w:eastAsia="仿宋_GB2312"/>
          <w:color w:val="000000"/>
          <w:sz w:val="32"/>
          <w:szCs w:val="32"/>
        </w:rPr>
        <w:t>.</w:t>
      </w:r>
    </w:p>
    <w:p w:rsidR="00F448B0" w:rsidRPr="00E22FA3" w:rsidRDefault="00F448B0" w:rsidP="006370A5">
      <w:pPr>
        <w:numPr>
          <w:ilvl w:val="0"/>
          <w:numId w:val="20"/>
        </w:numPr>
        <w:tabs>
          <w:tab w:val="clear" w:pos="0"/>
          <w:tab w:val="left" w:pos="360"/>
          <w:tab w:val="left" w:pos="952"/>
          <w:tab w:val="left" w:pos="1078"/>
          <w:tab w:val="left" w:pos="1140"/>
        </w:tabs>
        <w:autoSpaceDE w:val="0"/>
        <w:autoSpaceDN w:val="0"/>
        <w:adjustRightInd w:val="0"/>
        <w:spacing w:line="520" w:lineRule="exact"/>
        <w:rPr>
          <w:rFonts w:eastAsia="仿宋_GB2312"/>
          <w:sz w:val="32"/>
          <w:szCs w:val="32"/>
        </w:rPr>
      </w:pPr>
      <w:r w:rsidRPr="00E22FA3">
        <w:rPr>
          <w:rFonts w:eastAsia="仿宋_GB2312"/>
          <w:sz w:val="32"/>
          <w:szCs w:val="32"/>
        </w:rPr>
        <w:t>国家药品监督管理局</w:t>
      </w:r>
      <w:r w:rsidRPr="00E22FA3">
        <w:rPr>
          <w:rFonts w:eastAsia="仿宋_GB2312"/>
          <w:sz w:val="32"/>
          <w:szCs w:val="32"/>
        </w:rPr>
        <w:t>.</w:t>
      </w:r>
      <w:r w:rsidRPr="00E22FA3">
        <w:rPr>
          <w:rFonts w:eastAsia="仿宋_GB2312"/>
          <w:sz w:val="32"/>
          <w:szCs w:val="32"/>
        </w:rPr>
        <w:t>医疗器械动物试验研究注册审查指导原则</w:t>
      </w:r>
      <w:r w:rsidRPr="00E22FA3">
        <w:rPr>
          <w:rFonts w:eastAsia="仿宋_GB2312"/>
          <w:sz w:val="32"/>
          <w:szCs w:val="32"/>
        </w:rPr>
        <w:t xml:space="preserve"> </w:t>
      </w:r>
      <w:r w:rsidRPr="00E22FA3">
        <w:rPr>
          <w:rFonts w:eastAsia="仿宋_GB2312"/>
          <w:sz w:val="32"/>
          <w:szCs w:val="32"/>
        </w:rPr>
        <w:t>第二部分：试验设计、实施质量保证</w:t>
      </w:r>
      <w:r w:rsidRPr="00E22FA3">
        <w:rPr>
          <w:rFonts w:eastAsia="仿宋_GB2312"/>
          <w:sz w:val="32"/>
          <w:szCs w:val="32"/>
        </w:rPr>
        <w:t>:</w:t>
      </w:r>
      <w:r w:rsidRPr="00E22FA3">
        <w:rPr>
          <w:rFonts w:eastAsia="仿宋_GB2312"/>
          <w:sz w:val="32"/>
          <w:szCs w:val="32"/>
        </w:rPr>
        <w:t>国家药监局关于发布医疗器械动物试验研究注册审查指导原则</w:t>
      </w:r>
      <w:r w:rsidRPr="00E22FA3">
        <w:rPr>
          <w:rFonts w:eastAsia="仿宋_GB2312"/>
          <w:sz w:val="32"/>
          <w:szCs w:val="32"/>
        </w:rPr>
        <w:t xml:space="preserve"> </w:t>
      </w:r>
      <w:r w:rsidRPr="00E22FA3">
        <w:rPr>
          <w:rFonts w:eastAsia="仿宋_GB2312"/>
          <w:sz w:val="32"/>
          <w:szCs w:val="32"/>
        </w:rPr>
        <w:t>第一部分：决策原则（</w:t>
      </w:r>
      <w:r w:rsidRPr="00E22FA3">
        <w:rPr>
          <w:rFonts w:eastAsia="仿宋_GB2312"/>
          <w:sz w:val="32"/>
          <w:szCs w:val="32"/>
        </w:rPr>
        <w:t>2021</w:t>
      </w:r>
      <w:r w:rsidRPr="00E22FA3">
        <w:rPr>
          <w:rFonts w:eastAsia="仿宋_GB2312"/>
          <w:sz w:val="32"/>
          <w:szCs w:val="32"/>
        </w:rPr>
        <w:t>年修订版）等</w:t>
      </w:r>
      <w:r w:rsidRPr="00E22FA3">
        <w:rPr>
          <w:rFonts w:eastAsia="仿宋_GB2312"/>
          <w:sz w:val="32"/>
          <w:szCs w:val="32"/>
        </w:rPr>
        <w:t>2</w:t>
      </w:r>
      <w:r w:rsidRPr="00E22FA3">
        <w:rPr>
          <w:rFonts w:eastAsia="仿宋_GB2312"/>
          <w:sz w:val="32"/>
          <w:szCs w:val="32"/>
        </w:rPr>
        <w:t>项注册审查指导原则的通告（</w:t>
      </w:r>
      <w:r w:rsidRPr="00E22FA3">
        <w:rPr>
          <w:rFonts w:eastAsia="仿宋_GB2312"/>
          <w:sz w:val="32"/>
          <w:szCs w:val="32"/>
        </w:rPr>
        <w:t>2021</w:t>
      </w:r>
      <w:r w:rsidRPr="00E22FA3">
        <w:rPr>
          <w:rFonts w:eastAsia="仿宋_GB2312"/>
          <w:sz w:val="32"/>
          <w:szCs w:val="32"/>
        </w:rPr>
        <w:t>年第</w:t>
      </w:r>
      <w:r w:rsidRPr="00E22FA3">
        <w:rPr>
          <w:rFonts w:eastAsia="仿宋_GB2312"/>
          <w:sz w:val="32"/>
          <w:szCs w:val="32"/>
        </w:rPr>
        <w:t>75</w:t>
      </w:r>
      <w:r w:rsidRPr="00E22FA3">
        <w:rPr>
          <w:rFonts w:eastAsia="仿宋_GB2312"/>
          <w:sz w:val="32"/>
          <w:szCs w:val="32"/>
        </w:rPr>
        <w:t>号）</w:t>
      </w:r>
      <w:r w:rsidRPr="00E22FA3">
        <w:rPr>
          <w:rFonts w:eastAsia="仿宋_GB2312"/>
          <w:color w:val="000000"/>
          <w:sz w:val="32"/>
          <w:szCs w:val="32"/>
        </w:rPr>
        <w:t>[</w:t>
      </w:r>
      <w:r w:rsidRPr="00E22FA3">
        <w:rPr>
          <w:rFonts w:eastAsia="仿宋_GB2312"/>
          <w:sz w:val="32"/>
          <w:szCs w:val="32"/>
        </w:rPr>
        <w:t>Z</w:t>
      </w:r>
      <w:r w:rsidRPr="00E22FA3">
        <w:rPr>
          <w:rFonts w:eastAsia="仿宋_GB2312"/>
          <w:color w:val="000000"/>
          <w:sz w:val="32"/>
          <w:szCs w:val="32"/>
        </w:rPr>
        <w:t>].</w:t>
      </w:r>
    </w:p>
    <w:p w:rsidR="00F448B0" w:rsidRPr="00E22FA3" w:rsidRDefault="00F448B0" w:rsidP="006370A5">
      <w:pPr>
        <w:numPr>
          <w:ilvl w:val="0"/>
          <w:numId w:val="20"/>
        </w:numPr>
        <w:tabs>
          <w:tab w:val="clear" w:pos="0"/>
          <w:tab w:val="left" w:pos="360"/>
          <w:tab w:val="left" w:pos="952"/>
          <w:tab w:val="left" w:pos="1078"/>
          <w:tab w:val="left" w:pos="1140"/>
        </w:tabs>
        <w:autoSpaceDE w:val="0"/>
        <w:autoSpaceDN w:val="0"/>
        <w:adjustRightInd w:val="0"/>
        <w:spacing w:line="520" w:lineRule="exact"/>
        <w:rPr>
          <w:rFonts w:eastAsia="仿宋_GB2312"/>
          <w:sz w:val="32"/>
          <w:szCs w:val="32"/>
        </w:rPr>
      </w:pPr>
      <w:r w:rsidRPr="00E22FA3">
        <w:rPr>
          <w:rFonts w:eastAsia="仿宋_GB2312"/>
          <w:sz w:val="32"/>
          <w:szCs w:val="32"/>
        </w:rPr>
        <w:t>国家药品监督管理局</w:t>
      </w:r>
      <w:r w:rsidRPr="00E22FA3">
        <w:rPr>
          <w:rFonts w:eastAsia="仿宋_GB2312"/>
          <w:sz w:val="32"/>
          <w:szCs w:val="32"/>
        </w:rPr>
        <w:t>.</w:t>
      </w:r>
      <w:r w:rsidRPr="00E22FA3">
        <w:rPr>
          <w:rFonts w:eastAsia="仿宋_GB2312"/>
          <w:sz w:val="32"/>
          <w:szCs w:val="32"/>
        </w:rPr>
        <w:t>无源植入性医疗器械稳定性研究指导原则（</w:t>
      </w:r>
      <w:r w:rsidRPr="00E22FA3">
        <w:rPr>
          <w:rFonts w:eastAsia="仿宋_GB2312"/>
          <w:sz w:val="32"/>
          <w:szCs w:val="32"/>
        </w:rPr>
        <w:t>2022</w:t>
      </w:r>
      <w:r w:rsidRPr="00E22FA3">
        <w:rPr>
          <w:rFonts w:eastAsia="仿宋_GB2312"/>
          <w:sz w:val="32"/>
          <w:szCs w:val="32"/>
        </w:rPr>
        <w:t>年修订版）</w:t>
      </w:r>
      <w:r w:rsidRPr="00E22FA3">
        <w:rPr>
          <w:rFonts w:eastAsia="仿宋_GB2312"/>
          <w:sz w:val="32"/>
          <w:szCs w:val="32"/>
        </w:rPr>
        <w:t>:2022</w:t>
      </w:r>
      <w:r w:rsidRPr="00E22FA3">
        <w:rPr>
          <w:rFonts w:eastAsia="仿宋_GB2312"/>
          <w:sz w:val="32"/>
          <w:szCs w:val="32"/>
        </w:rPr>
        <w:t>年第</w:t>
      </w:r>
      <w:r w:rsidRPr="00E22FA3">
        <w:rPr>
          <w:rFonts w:eastAsia="仿宋_GB2312"/>
          <w:sz w:val="32"/>
          <w:szCs w:val="32"/>
        </w:rPr>
        <w:t>12</w:t>
      </w:r>
      <w:r w:rsidRPr="00E22FA3">
        <w:rPr>
          <w:rFonts w:eastAsia="仿宋_GB2312"/>
          <w:sz w:val="32"/>
          <w:szCs w:val="32"/>
        </w:rPr>
        <w:t>号</w:t>
      </w:r>
      <w:r w:rsidRPr="00E22FA3">
        <w:rPr>
          <w:rFonts w:eastAsia="仿宋_GB2312"/>
          <w:color w:val="000000"/>
          <w:sz w:val="32"/>
          <w:szCs w:val="32"/>
        </w:rPr>
        <w:t>[</w:t>
      </w:r>
      <w:r w:rsidRPr="00E22FA3">
        <w:rPr>
          <w:rFonts w:eastAsia="仿宋_GB2312"/>
          <w:sz w:val="32"/>
          <w:szCs w:val="32"/>
        </w:rPr>
        <w:t>Z</w:t>
      </w:r>
      <w:r w:rsidRPr="00E22FA3">
        <w:rPr>
          <w:rFonts w:eastAsia="仿宋_GB2312"/>
          <w:color w:val="000000"/>
          <w:sz w:val="32"/>
          <w:szCs w:val="32"/>
        </w:rPr>
        <w:t>].</w:t>
      </w:r>
    </w:p>
    <w:p w:rsidR="00AF37DC" w:rsidRPr="00E22FA3" w:rsidRDefault="00F448B0" w:rsidP="004146BD">
      <w:pPr>
        <w:numPr>
          <w:ilvl w:val="0"/>
          <w:numId w:val="20"/>
        </w:numPr>
        <w:tabs>
          <w:tab w:val="clear" w:pos="0"/>
          <w:tab w:val="left" w:pos="360"/>
          <w:tab w:val="left" w:pos="952"/>
          <w:tab w:val="left" w:pos="1078"/>
          <w:tab w:val="left" w:pos="1140"/>
        </w:tabs>
        <w:autoSpaceDE w:val="0"/>
        <w:autoSpaceDN w:val="0"/>
        <w:adjustRightInd w:val="0"/>
        <w:spacing w:line="520" w:lineRule="exact"/>
        <w:rPr>
          <w:rFonts w:eastAsia="仿宋_GB2312"/>
          <w:color w:val="000000"/>
          <w:sz w:val="28"/>
          <w:szCs w:val="20"/>
        </w:rPr>
      </w:pPr>
      <w:r w:rsidRPr="00E22FA3">
        <w:rPr>
          <w:rFonts w:eastAsia="仿宋_GB2312"/>
          <w:sz w:val="32"/>
          <w:szCs w:val="32"/>
        </w:rPr>
        <w:t>国家食品药品监督管理总局</w:t>
      </w:r>
      <w:r w:rsidRPr="00E22FA3">
        <w:rPr>
          <w:rFonts w:eastAsia="仿宋_GB2312"/>
          <w:sz w:val="32"/>
          <w:szCs w:val="32"/>
        </w:rPr>
        <w:t>.</w:t>
      </w:r>
      <w:r w:rsidRPr="00E22FA3">
        <w:rPr>
          <w:rFonts w:eastAsia="仿宋_GB2312"/>
          <w:sz w:val="32"/>
          <w:szCs w:val="32"/>
        </w:rPr>
        <w:t>《医疗器械说明书和标签管理规定》</w:t>
      </w:r>
      <w:r w:rsidRPr="00E22FA3">
        <w:rPr>
          <w:rFonts w:eastAsia="仿宋_GB2312"/>
          <w:sz w:val="32"/>
          <w:szCs w:val="32"/>
        </w:rPr>
        <w:t>:</w:t>
      </w:r>
      <w:r w:rsidRPr="00E22FA3">
        <w:rPr>
          <w:rFonts w:eastAsia="仿宋_GB2312"/>
          <w:sz w:val="32"/>
          <w:szCs w:val="32"/>
        </w:rPr>
        <w:t>国家食品药品监督管理总局局令第</w:t>
      </w:r>
      <w:r w:rsidRPr="00E22FA3">
        <w:rPr>
          <w:rFonts w:eastAsia="仿宋_GB2312"/>
          <w:sz w:val="32"/>
          <w:szCs w:val="32"/>
        </w:rPr>
        <w:t>6</w:t>
      </w:r>
      <w:r w:rsidRPr="00E22FA3">
        <w:rPr>
          <w:rFonts w:eastAsia="仿宋_GB2312"/>
          <w:sz w:val="32"/>
          <w:szCs w:val="32"/>
        </w:rPr>
        <w:t>号</w:t>
      </w:r>
      <w:r w:rsidRPr="00E22FA3">
        <w:rPr>
          <w:rFonts w:eastAsia="仿宋_GB2312"/>
          <w:color w:val="000000"/>
          <w:sz w:val="32"/>
          <w:szCs w:val="32"/>
        </w:rPr>
        <w:t>[</w:t>
      </w:r>
      <w:r w:rsidRPr="00E22FA3">
        <w:rPr>
          <w:rFonts w:eastAsia="仿宋_GB2312"/>
          <w:sz w:val="32"/>
          <w:szCs w:val="32"/>
        </w:rPr>
        <w:t>Z</w:t>
      </w:r>
      <w:r w:rsidRPr="00E22FA3">
        <w:rPr>
          <w:rFonts w:eastAsia="仿宋_GB2312"/>
          <w:color w:val="000000"/>
          <w:sz w:val="32"/>
          <w:szCs w:val="32"/>
        </w:rPr>
        <w:t>].</w:t>
      </w:r>
    </w:p>
    <w:sectPr w:rsidR="00AF37DC" w:rsidRPr="00E22FA3" w:rsidSect="0060713A">
      <w:headerReference w:type="even" r:id="rId8"/>
      <w:headerReference w:type="default" r:id="rId9"/>
      <w:footerReference w:type="even" r:id="rId10"/>
      <w:footerReference w:type="default" r:id="rId11"/>
      <w:pgSz w:w="11906" w:h="16838"/>
      <w:pgMar w:top="1701" w:right="1588" w:bottom="1701" w:left="1588" w:header="851" w:footer="1191" w:gutter="0"/>
      <w:pgNumType w:start="1" w:chapStyle="1" w:chapSep="em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0D9" w:rsidRDefault="00B970D9" w:rsidP="003079E8">
      <w:r>
        <w:separator/>
      </w:r>
    </w:p>
  </w:endnote>
  <w:endnote w:type="continuationSeparator" w:id="0">
    <w:p w:rsidR="00B970D9" w:rsidRDefault="00B970D9" w:rsidP="0030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dobe 仿宋 Std R">
    <w:altName w:val="仿宋"/>
    <w:charset w:val="86"/>
    <w:family w:val="roman"/>
    <w:pitch w:val="default"/>
    <w:sig w:usb0="00000001" w:usb1="0A0F1810" w:usb2="00000016" w:usb3="00000000" w:csb0="00060007"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8F" w:rsidRPr="00B61E5F" w:rsidRDefault="004146BD" w:rsidP="00B61E5F">
    <w:pPr>
      <w:pStyle w:val="a5"/>
      <w:numPr>
        <w:ilvl w:val="0"/>
        <w:numId w:val="16"/>
      </w:numPr>
      <w:rPr>
        <w:rFonts w:ascii="Times New Roman" w:hAnsi="Times New Roman" w:cs="Times New Roman"/>
        <w:sz w:val="28"/>
        <w:szCs w:val="28"/>
      </w:rPr>
    </w:pPr>
    <w:sdt>
      <w:sdtPr>
        <w:id w:val="237143137"/>
        <w:docPartObj>
          <w:docPartGallery w:val="Page Numbers (Bottom of Page)"/>
          <w:docPartUnique/>
        </w:docPartObj>
      </w:sdtPr>
      <w:sdtEndPr>
        <w:rPr>
          <w:rFonts w:ascii="Times New Roman" w:hAnsi="Times New Roman" w:cs="Times New Roman"/>
          <w:sz w:val="28"/>
          <w:szCs w:val="28"/>
        </w:rPr>
      </w:sdtEndPr>
      <w:sdtContent>
        <w:r w:rsidR="001A4F78" w:rsidRPr="001A4F78">
          <w:rPr>
            <w:rFonts w:ascii="Times New Roman" w:hAnsi="Times New Roman" w:cs="Times New Roman"/>
            <w:sz w:val="28"/>
            <w:szCs w:val="28"/>
          </w:rPr>
          <w:fldChar w:fldCharType="begin"/>
        </w:r>
        <w:r w:rsidR="001A4F78" w:rsidRPr="001A4F78">
          <w:rPr>
            <w:rFonts w:ascii="Times New Roman" w:hAnsi="Times New Roman" w:cs="Times New Roman"/>
            <w:sz w:val="28"/>
            <w:szCs w:val="28"/>
          </w:rPr>
          <w:instrText>PAGE   \* MERGEFORMAT</w:instrText>
        </w:r>
        <w:r w:rsidR="001A4F78" w:rsidRPr="001A4F78">
          <w:rPr>
            <w:rFonts w:ascii="Times New Roman" w:hAnsi="Times New Roman" w:cs="Times New Roman"/>
            <w:sz w:val="28"/>
            <w:szCs w:val="28"/>
          </w:rPr>
          <w:fldChar w:fldCharType="separate"/>
        </w:r>
        <w:r w:rsidRPr="004146BD">
          <w:rPr>
            <w:rFonts w:ascii="Times New Roman" w:hAnsi="Times New Roman" w:cs="Times New Roman"/>
            <w:noProof/>
            <w:sz w:val="28"/>
            <w:szCs w:val="28"/>
            <w:lang w:val="zh-CN"/>
          </w:rPr>
          <w:t>16</w:t>
        </w:r>
        <w:r w:rsidR="001A4F78" w:rsidRPr="001A4F78">
          <w:rPr>
            <w:rFonts w:ascii="Times New Roman" w:hAnsi="Times New Roman" w:cs="Times New Roman"/>
            <w:sz w:val="28"/>
            <w:szCs w:val="28"/>
          </w:rPr>
          <w:fldChar w:fldCharType="end"/>
        </w:r>
        <w:r w:rsidR="001A4F78" w:rsidRPr="001A4F78">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54091"/>
      <w:docPartObj>
        <w:docPartGallery w:val="Page Numbers (Bottom of Page)"/>
        <w:docPartUnique/>
      </w:docPartObj>
    </w:sdtPr>
    <w:sdtEndPr>
      <w:rPr>
        <w:rFonts w:ascii="Times New Roman" w:hAnsi="Times New Roman" w:cs="Times New Roman"/>
        <w:sz w:val="28"/>
        <w:szCs w:val="28"/>
      </w:rPr>
    </w:sdtEndPr>
    <w:sdtContent>
      <w:p w:rsidR="0078788F" w:rsidRPr="00B61E5F" w:rsidRDefault="001A4F78" w:rsidP="00B61E5F">
        <w:pPr>
          <w:pStyle w:val="a5"/>
          <w:numPr>
            <w:ilvl w:val="0"/>
            <w:numId w:val="19"/>
          </w:numPr>
          <w:jc w:val="right"/>
          <w:rPr>
            <w:rFonts w:ascii="Times New Roman" w:hAnsi="Times New Roman" w:cs="Times New Roman"/>
            <w:sz w:val="28"/>
            <w:szCs w:val="28"/>
          </w:rPr>
        </w:pPr>
        <w:r w:rsidRPr="001A4F78">
          <w:rPr>
            <w:rFonts w:ascii="Times New Roman" w:hAnsi="Times New Roman" w:cs="Times New Roman"/>
            <w:sz w:val="28"/>
            <w:szCs w:val="28"/>
          </w:rPr>
          <w:fldChar w:fldCharType="begin"/>
        </w:r>
        <w:r w:rsidRPr="001A4F78">
          <w:rPr>
            <w:rFonts w:ascii="Times New Roman" w:hAnsi="Times New Roman" w:cs="Times New Roman"/>
            <w:sz w:val="28"/>
            <w:szCs w:val="28"/>
          </w:rPr>
          <w:instrText>PAGE   \* MERGEFORMAT</w:instrText>
        </w:r>
        <w:r w:rsidRPr="001A4F78">
          <w:rPr>
            <w:rFonts w:ascii="Times New Roman" w:hAnsi="Times New Roman" w:cs="Times New Roman"/>
            <w:sz w:val="28"/>
            <w:szCs w:val="28"/>
          </w:rPr>
          <w:fldChar w:fldCharType="separate"/>
        </w:r>
        <w:r w:rsidR="004146BD" w:rsidRPr="004146BD">
          <w:rPr>
            <w:rFonts w:ascii="Times New Roman" w:hAnsi="Times New Roman" w:cs="Times New Roman"/>
            <w:noProof/>
            <w:sz w:val="28"/>
            <w:szCs w:val="28"/>
            <w:lang w:val="zh-CN"/>
          </w:rPr>
          <w:t>17</w:t>
        </w:r>
        <w:r w:rsidRPr="001A4F78">
          <w:rPr>
            <w:rFonts w:ascii="Times New Roman" w:hAnsi="Times New Roman" w:cs="Times New Roman"/>
            <w:sz w:val="28"/>
            <w:szCs w:val="28"/>
          </w:rPr>
          <w:fldChar w:fldCharType="end"/>
        </w:r>
        <w:r w:rsidRPr="001A4F78">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0D9" w:rsidRDefault="00B970D9" w:rsidP="003079E8">
      <w:r>
        <w:separator/>
      </w:r>
    </w:p>
  </w:footnote>
  <w:footnote w:type="continuationSeparator" w:id="0">
    <w:p w:rsidR="00B970D9" w:rsidRDefault="00B970D9" w:rsidP="0030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Default="00B52670" w:rsidP="00134ED0">
    <w:pPr>
      <w:pStyle w:val="a3"/>
      <w:pBdr>
        <w:bottom w:val="none" w:sz="0" w:space="0" w:color="auto"/>
      </w:pBdr>
    </w:pPr>
  </w:p>
  <w:p w:rsidR="0078788F" w:rsidRDefault="007878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Pr="00D96564" w:rsidRDefault="00B52670" w:rsidP="00134ED0">
    <w:pPr>
      <w:pStyle w:val="a3"/>
      <w:pBdr>
        <w:bottom w:val="none" w:sz="0" w:space="0" w:color="auto"/>
      </w:pBdr>
      <w:rPr>
        <w:rFonts w:ascii="Times New Roman" w:hAnsi="Times New Roman" w:cs="Times New Roman"/>
        <w:sz w:val="28"/>
        <w:szCs w:val="28"/>
      </w:rPr>
    </w:pPr>
  </w:p>
  <w:p w:rsidR="0078788F" w:rsidRDefault="007878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BEA"/>
    <w:multiLevelType w:val="hybridMultilevel"/>
    <w:tmpl w:val="29C6E3D6"/>
    <w:lvl w:ilvl="0" w:tplc="02F4B40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4901CF8"/>
    <w:multiLevelType w:val="multilevel"/>
    <w:tmpl w:val="14901CF8"/>
    <w:lvl w:ilvl="0">
      <w:start w:val="1"/>
      <w:numFmt w:val="decimal"/>
      <w:lvlText w:val="%1．"/>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A00A7"/>
    <w:multiLevelType w:val="hybridMultilevel"/>
    <w:tmpl w:val="2B4EAB08"/>
    <w:lvl w:ilvl="0" w:tplc="EAF09A8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4" w15:restartNumberingAfterBreak="0">
    <w:nsid w:val="20343560"/>
    <w:multiLevelType w:val="multilevel"/>
    <w:tmpl w:val="20343560"/>
    <w:lvl w:ilvl="0">
      <w:start w:val="1"/>
      <w:numFmt w:val="bullet"/>
      <w:lvlText w:val=""/>
      <w:lvlJc w:val="left"/>
      <w:pPr>
        <w:ind w:left="1260" w:hanging="420"/>
      </w:pPr>
      <w:rPr>
        <w:rFonts w:ascii="Wingdings 2" w:eastAsia="方正小标宋简体" w:hAnsi="Wingdings 2" w:hint="default"/>
        <w:color w:val="000000"/>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 w15:restartNumberingAfterBreak="0">
    <w:nsid w:val="257E1BB0"/>
    <w:multiLevelType w:val="multilevel"/>
    <w:tmpl w:val="257E1BB0"/>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2AAC3D6E"/>
    <w:multiLevelType w:val="hybridMultilevel"/>
    <w:tmpl w:val="13F4DE32"/>
    <w:lvl w:ilvl="0" w:tplc="BE5A2AFA">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3E5064"/>
    <w:multiLevelType w:val="hybridMultilevel"/>
    <w:tmpl w:val="FE6E7C9E"/>
    <w:lvl w:ilvl="0" w:tplc="17FA2D84">
      <w:start w:val="8"/>
      <w:numFmt w:val="bullet"/>
      <w:lvlText w:val="—"/>
      <w:lvlJc w:val="left"/>
      <w:pPr>
        <w:ind w:left="360" w:hanging="360"/>
      </w:pPr>
      <w:rPr>
        <w:rFonts w:ascii="Times New Roman" w:eastAsia="等线"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CC1BE4"/>
    <w:multiLevelType w:val="multilevel"/>
    <w:tmpl w:val="35CC1BE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6336573"/>
    <w:multiLevelType w:val="hybridMultilevel"/>
    <w:tmpl w:val="9E604E68"/>
    <w:lvl w:ilvl="0" w:tplc="FE84C412">
      <w:numFmt w:val="bullet"/>
      <w:lvlText w:val="—"/>
      <w:lvlJc w:val="left"/>
      <w:pPr>
        <w:ind w:left="360" w:hanging="360"/>
      </w:pPr>
      <w:rPr>
        <w:rFonts w:ascii="宋体" w:eastAsia="宋体" w:hAnsi="宋体" w:cs="Times New Roman" w:hint="eastAsia"/>
        <w:color w:val="FFFFFF"/>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96C00AF"/>
    <w:multiLevelType w:val="multilevel"/>
    <w:tmpl w:val="496C00AF"/>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1" w15:restartNumberingAfterBreak="0">
    <w:nsid w:val="51240AD4"/>
    <w:multiLevelType w:val="hybridMultilevel"/>
    <w:tmpl w:val="8B3E3080"/>
    <w:lvl w:ilvl="0" w:tplc="1BA8612E">
      <w:start w:val="1"/>
      <w:numFmt w:val="decimal"/>
      <w:lvlText w:val="%1."/>
      <w:lvlJc w:val="left"/>
      <w:pPr>
        <w:ind w:left="1000" w:hanging="360"/>
      </w:pPr>
      <w:rPr>
        <w:rFonts w:ascii="Times New Roman" w:hAnsi="Times New Roman"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30EF510"/>
    <w:multiLevelType w:val="singleLevel"/>
    <w:tmpl w:val="530EF510"/>
    <w:lvl w:ilvl="0">
      <w:start w:val="2"/>
      <w:numFmt w:val="decimal"/>
      <w:suff w:val="nothing"/>
      <w:lvlText w:val="%1."/>
      <w:lvlJc w:val="left"/>
    </w:lvl>
  </w:abstractNum>
  <w:abstractNum w:abstractNumId="13" w15:restartNumberingAfterBreak="0">
    <w:nsid w:val="531833DE"/>
    <w:multiLevelType w:val="singleLevel"/>
    <w:tmpl w:val="531833DE"/>
    <w:lvl w:ilvl="0">
      <w:start w:val="7"/>
      <w:numFmt w:val="decimal"/>
      <w:suff w:val="nothing"/>
      <w:lvlText w:val="%1."/>
      <w:lvlJc w:val="left"/>
    </w:lvl>
  </w:abstractNum>
  <w:abstractNum w:abstractNumId="14" w15:restartNumberingAfterBreak="0">
    <w:nsid w:val="5ADA3302"/>
    <w:multiLevelType w:val="hybridMultilevel"/>
    <w:tmpl w:val="2DF44F5E"/>
    <w:lvl w:ilvl="0" w:tplc="5F06C8C6">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11E5EAE"/>
    <w:multiLevelType w:val="multilevel"/>
    <w:tmpl w:val="711E5E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15:restartNumberingAfterBreak="0">
    <w:nsid w:val="740DDE63"/>
    <w:multiLevelType w:val="multilevel"/>
    <w:tmpl w:val="740DDE63"/>
    <w:lvl w:ilvl="0">
      <w:start w:val="1"/>
      <w:numFmt w:val="decimal"/>
      <w:suff w:val="nothing"/>
      <w:lvlText w:val="[%1]"/>
      <w:lvlJc w:val="left"/>
      <w:pPr>
        <w:tabs>
          <w:tab w:val="num" w:pos="0"/>
        </w:tabs>
        <w:ind w:left="0" w:firstLine="60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15:restartNumberingAfterBreak="0">
    <w:nsid w:val="7F662D84"/>
    <w:multiLevelType w:val="singleLevel"/>
    <w:tmpl w:val="7F662D84"/>
    <w:lvl w:ilvl="0">
      <w:start w:val="10"/>
      <w:numFmt w:val="decimal"/>
      <w:lvlText w:val="%1."/>
      <w:lvlJc w:val="left"/>
      <w:pPr>
        <w:tabs>
          <w:tab w:val="left" w:pos="312"/>
        </w:tabs>
      </w:pPr>
    </w:lvl>
  </w:abstractNum>
  <w:abstractNum w:abstractNumId="18" w15:restartNumberingAfterBreak="0">
    <w:nsid w:val="7F8C7A35"/>
    <w:multiLevelType w:val="multilevel"/>
    <w:tmpl w:val="7F8C7A35"/>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8"/>
  </w:num>
  <w:num w:numId="2">
    <w:abstractNumId w:val="15"/>
  </w:num>
  <w:num w:numId="3">
    <w:abstractNumId w:val="3"/>
  </w:num>
  <w:num w:numId="4">
    <w:abstractNumId w:val="17"/>
  </w:num>
  <w:num w:numId="5">
    <w:abstractNumId w:val="13"/>
  </w:num>
  <w:num w:numId="6">
    <w:abstractNumId w:val="12"/>
  </w:num>
  <w:num w:numId="7">
    <w:abstractNumId w:val="5"/>
  </w:num>
  <w:num w:numId="8">
    <w:abstractNumId w:val="14"/>
  </w:num>
  <w:num w:numId="9">
    <w:abstractNumId w:val="6"/>
  </w:num>
  <w:num w:numId="10">
    <w:abstractNumId w:val="8"/>
  </w:num>
  <w:num w:numId="11">
    <w:abstractNumId w:val="4"/>
  </w:num>
  <w:num w:numId="12">
    <w:abstractNumId w:val="0"/>
  </w:num>
  <w:num w:numId="13">
    <w:abstractNumId w:val="11"/>
  </w:num>
  <w:num w:numId="14">
    <w:abstractNumId w:val="9"/>
  </w:num>
  <w:num w:numId="15">
    <w:abstractNumId w:val="10"/>
  </w:num>
  <w:num w:numId="16">
    <w:abstractNumId w:val="2"/>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revisionView w:inkAnnotation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23"/>
    <w:rsid w:val="00002AAD"/>
    <w:rsid w:val="000146D7"/>
    <w:rsid w:val="000329DA"/>
    <w:rsid w:val="000A63C1"/>
    <w:rsid w:val="000D32E0"/>
    <w:rsid w:val="000D4E34"/>
    <w:rsid w:val="00106A9D"/>
    <w:rsid w:val="00114E64"/>
    <w:rsid w:val="00122FBD"/>
    <w:rsid w:val="00134ED0"/>
    <w:rsid w:val="00137012"/>
    <w:rsid w:val="00141273"/>
    <w:rsid w:val="00150E66"/>
    <w:rsid w:val="00151932"/>
    <w:rsid w:val="00184973"/>
    <w:rsid w:val="00191F7A"/>
    <w:rsid w:val="001A4F78"/>
    <w:rsid w:val="001A70F6"/>
    <w:rsid w:val="001B78C4"/>
    <w:rsid w:val="001C4F2E"/>
    <w:rsid w:val="001D11D9"/>
    <w:rsid w:val="001D1A12"/>
    <w:rsid w:val="001F0DF0"/>
    <w:rsid w:val="001F1046"/>
    <w:rsid w:val="00201F93"/>
    <w:rsid w:val="002062EA"/>
    <w:rsid w:val="00217E23"/>
    <w:rsid w:val="00217F03"/>
    <w:rsid w:val="00222BB7"/>
    <w:rsid w:val="00244D02"/>
    <w:rsid w:val="00252B40"/>
    <w:rsid w:val="002548F3"/>
    <w:rsid w:val="00294F3C"/>
    <w:rsid w:val="00295409"/>
    <w:rsid w:val="00295F3E"/>
    <w:rsid w:val="002B2CA7"/>
    <w:rsid w:val="002D5575"/>
    <w:rsid w:val="002F062A"/>
    <w:rsid w:val="002F557C"/>
    <w:rsid w:val="003079E8"/>
    <w:rsid w:val="003100D4"/>
    <w:rsid w:val="003438E9"/>
    <w:rsid w:val="0035732D"/>
    <w:rsid w:val="0036717C"/>
    <w:rsid w:val="003832CA"/>
    <w:rsid w:val="00386FA0"/>
    <w:rsid w:val="00390CE2"/>
    <w:rsid w:val="00393EFB"/>
    <w:rsid w:val="003953C8"/>
    <w:rsid w:val="003B7510"/>
    <w:rsid w:val="003F0E18"/>
    <w:rsid w:val="004067A3"/>
    <w:rsid w:val="00412EF1"/>
    <w:rsid w:val="004146BD"/>
    <w:rsid w:val="004150EE"/>
    <w:rsid w:val="0041585F"/>
    <w:rsid w:val="00417976"/>
    <w:rsid w:val="004214A4"/>
    <w:rsid w:val="004246F2"/>
    <w:rsid w:val="00436D1B"/>
    <w:rsid w:val="004627AE"/>
    <w:rsid w:val="00480C25"/>
    <w:rsid w:val="00482972"/>
    <w:rsid w:val="00483ECD"/>
    <w:rsid w:val="004871DF"/>
    <w:rsid w:val="00494D22"/>
    <w:rsid w:val="004A31E1"/>
    <w:rsid w:val="004A429D"/>
    <w:rsid w:val="004B1017"/>
    <w:rsid w:val="004F2884"/>
    <w:rsid w:val="004F486F"/>
    <w:rsid w:val="005040E6"/>
    <w:rsid w:val="00510DB3"/>
    <w:rsid w:val="00580051"/>
    <w:rsid w:val="005C6177"/>
    <w:rsid w:val="005D5360"/>
    <w:rsid w:val="005D5874"/>
    <w:rsid w:val="005D71E7"/>
    <w:rsid w:val="0060513F"/>
    <w:rsid w:val="0060713A"/>
    <w:rsid w:val="00615B40"/>
    <w:rsid w:val="0061625D"/>
    <w:rsid w:val="00616661"/>
    <w:rsid w:val="00617194"/>
    <w:rsid w:val="0063084F"/>
    <w:rsid w:val="00631AA9"/>
    <w:rsid w:val="00635BFE"/>
    <w:rsid w:val="006370A5"/>
    <w:rsid w:val="006376F5"/>
    <w:rsid w:val="00640B84"/>
    <w:rsid w:val="00641D70"/>
    <w:rsid w:val="006515C5"/>
    <w:rsid w:val="00651DCB"/>
    <w:rsid w:val="00664817"/>
    <w:rsid w:val="0066775D"/>
    <w:rsid w:val="00690E61"/>
    <w:rsid w:val="006C0F4B"/>
    <w:rsid w:val="006E697B"/>
    <w:rsid w:val="00710650"/>
    <w:rsid w:val="007459D2"/>
    <w:rsid w:val="00745B62"/>
    <w:rsid w:val="0078788F"/>
    <w:rsid w:val="0079267F"/>
    <w:rsid w:val="007A5573"/>
    <w:rsid w:val="007A7B0C"/>
    <w:rsid w:val="007B226A"/>
    <w:rsid w:val="00807022"/>
    <w:rsid w:val="00814D41"/>
    <w:rsid w:val="00821123"/>
    <w:rsid w:val="00822C26"/>
    <w:rsid w:val="00822C68"/>
    <w:rsid w:val="00827ED2"/>
    <w:rsid w:val="00831214"/>
    <w:rsid w:val="00844620"/>
    <w:rsid w:val="00857E8D"/>
    <w:rsid w:val="00860D78"/>
    <w:rsid w:val="00866BF0"/>
    <w:rsid w:val="00875AE8"/>
    <w:rsid w:val="00894CA1"/>
    <w:rsid w:val="008A50D5"/>
    <w:rsid w:val="008A7314"/>
    <w:rsid w:val="008C7889"/>
    <w:rsid w:val="008D589E"/>
    <w:rsid w:val="008E64B6"/>
    <w:rsid w:val="00962F71"/>
    <w:rsid w:val="0099578F"/>
    <w:rsid w:val="009C0679"/>
    <w:rsid w:val="009C7F29"/>
    <w:rsid w:val="009D2C2D"/>
    <w:rsid w:val="009D751B"/>
    <w:rsid w:val="009E0C86"/>
    <w:rsid w:val="009F46C1"/>
    <w:rsid w:val="00A16C43"/>
    <w:rsid w:val="00A21DA8"/>
    <w:rsid w:val="00A346B7"/>
    <w:rsid w:val="00A650B1"/>
    <w:rsid w:val="00A81F0C"/>
    <w:rsid w:val="00AA7E86"/>
    <w:rsid w:val="00AF37DC"/>
    <w:rsid w:val="00B2671F"/>
    <w:rsid w:val="00B2724F"/>
    <w:rsid w:val="00B27B9C"/>
    <w:rsid w:val="00B35B77"/>
    <w:rsid w:val="00B52670"/>
    <w:rsid w:val="00B539BD"/>
    <w:rsid w:val="00B61E5F"/>
    <w:rsid w:val="00B7255B"/>
    <w:rsid w:val="00B970D9"/>
    <w:rsid w:val="00BB26D7"/>
    <w:rsid w:val="00BD3433"/>
    <w:rsid w:val="00BD5BB8"/>
    <w:rsid w:val="00BE6AAA"/>
    <w:rsid w:val="00BF33A6"/>
    <w:rsid w:val="00C10FD2"/>
    <w:rsid w:val="00C25443"/>
    <w:rsid w:val="00C421D8"/>
    <w:rsid w:val="00C77C14"/>
    <w:rsid w:val="00CA15D0"/>
    <w:rsid w:val="00CB40F3"/>
    <w:rsid w:val="00CC15CF"/>
    <w:rsid w:val="00CC7810"/>
    <w:rsid w:val="00CD7359"/>
    <w:rsid w:val="00CE7716"/>
    <w:rsid w:val="00CF3E07"/>
    <w:rsid w:val="00D0654B"/>
    <w:rsid w:val="00D2114A"/>
    <w:rsid w:val="00D22218"/>
    <w:rsid w:val="00D31360"/>
    <w:rsid w:val="00D57B53"/>
    <w:rsid w:val="00D9244F"/>
    <w:rsid w:val="00D941BF"/>
    <w:rsid w:val="00D96564"/>
    <w:rsid w:val="00DA3197"/>
    <w:rsid w:val="00DB285C"/>
    <w:rsid w:val="00DB63E0"/>
    <w:rsid w:val="00DC2A13"/>
    <w:rsid w:val="00DE4529"/>
    <w:rsid w:val="00DF1104"/>
    <w:rsid w:val="00DF487B"/>
    <w:rsid w:val="00DF6A15"/>
    <w:rsid w:val="00E1589F"/>
    <w:rsid w:val="00E2148D"/>
    <w:rsid w:val="00E22FA3"/>
    <w:rsid w:val="00E42413"/>
    <w:rsid w:val="00E84CB3"/>
    <w:rsid w:val="00E917E5"/>
    <w:rsid w:val="00EC5105"/>
    <w:rsid w:val="00F017EC"/>
    <w:rsid w:val="00F1084F"/>
    <w:rsid w:val="00F31C51"/>
    <w:rsid w:val="00F32980"/>
    <w:rsid w:val="00F448B0"/>
    <w:rsid w:val="00F44E8C"/>
    <w:rsid w:val="00F82827"/>
    <w:rsid w:val="00F83687"/>
    <w:rsid w:val="00F83D79"/>
    <w:rsid w:val="00F91F4F"/>
    <w:rsid w:val="00FA53B8"/>
    <w:rsid w:val="00FA576D"/>
    <w:rsid w:val="00FE498C"/>
    <w:rsid w:val="00FE4E41"/>
    <w:rsid w:val="00FF31AA"/>
    <w:rsid w:val="00FF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0314E1"/>
  <w15:chartTrackingRefBased/>
  <w15:docId w15:val="{CE99FC34-19A3-4001-AFFF-AB8E6C5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9E8"/>
    <w:pPr>
      <w:widowControl w:val="0"/>
      <w:jc w:val="both"/>
    </w:pPr>
    <w:rPr>
      <w:rFonts w:ascii="Times New Roman" w:eastAsia="宋体" w:hAnsi="Times New Roman" w:cs="Times New Roman"/>
      <w:szCs w:val="24"/>
    </w:rPr>
  </w:style>
  <w:style w:type="paragraph" w:styleId="1">
    <w:name w:val="heading 1"/>
    <w:basedOn w:val="a"/>
    <w:next w:val="a"/>
    <w:link w:val="10"/>
    <w:autoRedefine/>
    <w:qFormat/>
    <w:rsid w:val="002F557C"/>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nhideWhenUsed/>
    <w:qFormat/>
    <w:rsid w:val="002F557C"/>
    <w:pPr>
      <w:keepNext/>
      <w:keepLines/>
      <w:spacing w:line="360" w:lineRule="auto"/>
      <w:ind w:firstLineChars="200" w:firstLine="200"/>
      <w:outlineLvl w:val="1"/>
    </w:pPr>
    <w:rPr>
      <w:rFonts w:asciiTheme="majorHAnsi" w:eastAsia="黑体" w:hAnsiTheme="majorHAnsi" w:cstheme="majorBidi"/>
      <w:bCs/>
      <w:sz w:val="32"/>
      <w:szCs w:val="32"/>
    </w:rPr>
  </w:style>
  <w:style w:type="paragraph" w:styleId="3">
    <w:name w:val="heading 3"/>
    <w:basedOn w:val="a"/>
    <w:next w:val="a"/>
    <w:link w:val="30"/>
    <w:qFormat/>
    <w:rsid w:val="00D2114A"/>
    <w:pPr>
      <w:keepNext/>
      <w:keepLines/>
      <w:spacing w:before="260" w:after="260" w:line="416" w:lineRule="auto"/>
      <w:outlineLvl w:val="2"/>
    </w:pPr>
    <w:rPr>
      <w:b/>
      <w:bCs/>
      <w:sz w:val="32"/>
      <w:szCs w:val="32"/>
    </w:rPr>
  </w:style>
  <w:style w:type="paragraph" w:styleId="4">
    <w:name w:val="heading 4"/>
    <w:basedOn w:val="a"/>
    <w:next w:val="a"/>
    <w:link w:val="40"/>
    <w:qFormat/>
    <w:rsid w:val="00D2114A"/>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0"/>
    <w:qFormat/>
    <w:rsid w:val="00D2114A"/>
    <w:pPr>
      <w:keepNext/>
      <w:keepLines/>
      <w:spacing w:before="280" w:after="290" w:line="376" w:lineRule="auto"/>
      <w:outlineLvl w:val="4"/>
    </w:pPr>
    <w:rPr>
      <w:b/>
      <w:bCs/>
      <w:sz w:val="28"/>
      <w:szCs w:val="28"/>
    </w:rPr>
  </w:style>
  <w:style w:type="paragraph" w:styleId="6">
    <w:name w:val="heading 6"/>
    <w:basedOn w:val="a"/>
    <w:next w:val="a"/>
    <w:link w:val="60"/>
    <w:qFormat/>
    <w:rsid w:val="00D2114A"/>
    <w:pPr>
      <w:keepNext/>
      <w:keepLines/>
      <w:spacing w:before="240" w:after="64" w:line="320" w:lineRule="auto"/>
      <w:outlineLvl w:val="5"/>
    </w:pPr>
    <w:rPr>
      <w:rFonts w:ascii="Calibri Light" w:hAnsi="Calibri Light"/>
      <w:b/>
      <w:bCs/>
      <w:sz w:val="24"/>
    </w:rPr>
  </w:style>
  <w:style w:type="paragraph" w:styleId="7">
    <w:name w:val="heading 7"/>
    <w:basedOn w:val="a"/>
    <w:next w:val="a"/>
    <w:link w:val="70"/>
    <w:qFormat/>
    <w:rsid w:val="00D2114A"/>
    <w:pPr>
      <w:keepNext/>
      <w:keepLines/>
      <w:spacing w:before="240" w:after="64" w:line="320" w:lineRule="auto"/>
      <w:outlineLvl w:val="6"/>
    </w:pPr>
    <w:rPr>
      <w:b/>
      <w:bCs/>
      <w:sz w:val="24"/>
    </w:rPr>
  </w:style>
  <w:style w:type="paragraph" w:styleId="8">
    <w:name w:val="heading 8"/>
    <w:basedOn w:val="a"/>
    <w:next w:val="a"/>
    <w:link w:val="80"/>
    <w:qFormat/>
    <w:rsid w:val="00D2114A"/>
    <w:pPr>
      <w:keepNext/>
      <w:keepLines/>
      <w:spacing w:before="240" w:after="64" w:line="320" w:lineRule="auto"/>
      <w:outlineLvl w:val="7"/>
    </w:pPr>
    <w:rPr>
      <w:rFonts w:ascii="Calibri Light" w:hAnsi="Calibri Light"/>
      <w:sz w:val="24"/>
    </w:rPr>
  </w:style>
  <w:style w:type="paragraph" w:styleId="9">
    <w:name w:val="heading 9"/>
    <w:basedOn w:val="a"/>
    <w:next w:val="a"/>
    <w:link w:val="90"/>
    <w:unhideWhenUsed/>
    <w:qFormat/>
    <w:rsid w:val="00D2114A"/>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F557C"/>
    <w:rPr>
      <w:b/>
      <w:bCs/>
      <w:kern w:val="44"/>
      <w:sz w:val="44"/>
      <w:szCs w:val="44"/>
    </w:rPr>
  </w:style>
  <w:style w:type="character" w:customStyle="1" w:styleId="20">
    <w:name w:val="标题 2 字符"/>
    <w:basedOn w:val="a0"/>
    <w:link w:val="2"/>
    <w:qFormat/>
    <w:rsid w:val="002F557C"/>
    <w:rPr>
      <w:rFonts w:asciiTheme="majorHAnsi" w:eastAsia="黑体" w:hAnsiTheme="majorHAnsi" w:cstheme="majorBidi"/>
      <w:bCs/>
      <w:sz w:val="32"/>
      <w:szCs w:val="32"/>
    </w:rPr>
  </w:style>
  <w:style w:type="character" w:customStyle="1" w:styleId="30">
    <w:name w:val="标题 3 字符"/>
    <w:basedOn w:val="a0"/>
    <w:link w:val="3"/>
    <w:qFormat/>
    <w:rsid w:val="00D2114A"/>
    <w:rPr>
      <w:rFonts w:ascii="Times New Roman" w:eastAsia="宋体" w:hAnsi="Times New Roman" w:cs="Times New Roman"/>
      <w:b/>
      <w:bCs/>
      <w:sz w:val="32"/>
      <w:szCs w:val="32"/>
    </w:rPr>
  </w:style>
  <w:style w:type="character" w:customStyle="1" w:styleId="40">
    <w:name w:val="标题 4 字符"/>
    <w:basedOn w:val="a0"/>
    <w:link w:val="4"/>
    <w:rsid w:val="00D2114A"/>
    <w:rPr>
      <w:rFonts w:ascii="Calibri Light" w:eastAsia="宋体" w:hAnsi="Calibri Light" w:cs="Times New Roman"/>
      <w:b/>
      <w:bCs/>
      <w:sz w:val="28"/>
      <w:szCs w:val="28"/>
    </w:rPr>
  </w:style>
  <w:style w:type="character" w:customStyle="1" w:styleId="50">
    <w:name w:val="标题 5 字符"/>
    <w:basedOn w:val="a0"/>
    <w:link w:val="5"/>
    <w:rsid w:val="00D2114A"/>
    <w:rPr>
      <w:rFonts w:ascii="Times New Roman" w:eastAsia="宋体" w:hAnsi="Times New Roman" w:cs="Times New Roman"/>
      <w:b/>
      <w:bCs/>
      <w:sz w:val="28"/>
      <w:szCs w:val="28"/>
    </w:rPr>
  </w:style>
  <w:style w:type="character" w:customStyle="1" w:styleId="60">
    <w:name w:val="标题 6 字符"/>
    <w:basedOn w:val="a0"/>
    <w:link w:val="6"/>
    <w:qFormat/>
    <w:rsid w:val="00D2114A"/>
    <w:rPr>
      <w:rFonts w:ascii="Calibri Light" w:eastAsia="宋体" w:hAnsi="Calibri Light" w:cs="Times New Roman"/>
      <w:b/>
      <w:bCs/>
      <w:sz w:val="24"/>
      <w:szCs w:val="24"/>
    </w:rPr>
  </w:style>
  <w:style w:type="character" w:customStyle="1" w:styleId="70">
    <w:name w:val="标题 7 字符"/>
    <w:basedOn w:val="a0"/>
    <w:link w:val="7"/>
    <w:qFormat/>
    <w:rsid w:val="00D2114A"/>
    <w:rPr>
      <w:rFonts w:ascii="Times New Roman" w:eastAsia="宋体" w:hAnsi="Times New Roman" w:cs="Times New Roman"/>
      <w:b/>
      <w:bCs/>
      <w:sz w:val="24"/>
      <w:szCs w:val="24"/>
    </w:rPr>
  </w:style>
  <w:style w:type="character" w:customStyle="1" w:styleId="80">
    <w:name w:val="标题 8 字符"/>
    <w:basedOn w:val="a0"/>
    <w:link w:val="8"/>
    <w:qFormat/>
    <w:rsid w:val="00D2114A"/>
    <w:rPr>
      <w:rFonts w:ascii="Calibri Light" w:eastAsia="宋体" w:hAnsi="Calibri Light" w:cs="Times New Roman"/>
      <w:sz w:val="24"/>
      <w:szCs w:val="24"/>
    </w:rPr>
  </w:style>
  <w:style w:type="character" w:customStyle="1" w:styleId="90">
    <w:name w:val="标题 9 字符"/>
    <w:basedOn w:val="a0"/>
    <w:link w:val="9"/>
    <w:rsid w:val="00D2114A"/>
    <w:rPr>
      <w:rFonts w:ascii="等线 Light" w:eastAsia="等线 Light" w:hAnsi="等线 Light" w:cs="Times New Roman"/>
      <w:szCs w:val="21"/>
    </w:rPr>
  </w:style>
  <w:style w:type="paragraph" w:styleId="a3">
    <w:name w:val="header"/>
    <w:basedOn w:val="a"/>
    <w:link w:val="a4"/>
    <w:uiPriority w:val="99"/>
    <w:unhideWhenUsed/>
    <w:qFormat/>
    <w:rsid w:val="003079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079E8"/>
    <w:rPr>
      <w:sz w:val="18"/>
      <w:szCs w:val="18"/>
    </w:rPr>
  </w:style>
  <w:style w:type="paragraph" w:styleId="a5">
    <w:name w:val="footer"/>
    <w:basedOn w:val="a"/>
    <w:link w:val="a6"/>
    <w:uiPriority w:val="99"/>
    <w:unhideWhenUsed/>
    <w:qFormat/>
    <w:rsid w:val="003079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3079E8"/>
    <w:rPr>
      <w:sz w:val="18"/>
      <w:szCs w:val="18"/>
    </w:rPr>
  </w:style>
  <w:style w:type="paragraph" w:styleId="a7">
    <w:name w:val="Normal (Web)"/>
    <w:basedOn w:val="a"/>
    <w:uiPriority w:val="99"/>
    <w:unhideWhenUsed/>
    <w:qFormat/>
    <w:rsid w:val="0079267F"/>
    <w:pPr>
      <w:widowControl/>
      <w:spacing w:before="100" w:beforeAutospacing="1" w:after="100" w:afterAutospacing="1"/>
      <w:jc w:val="left"/>
    </w:pPr>
    <w:rPr>
      <w:rFonts w:ascii="宋体" w:hAnsi="宋体" w:cs="宋体"/>
      <w:kern w:val="0"/>
      <w:sz w:val="24"/>
    </w:rPr>
  </w:style>
  <w:style w:type="paragraph" w:styleId="a8">
    <w:name w:val="Plain Text"/>
    <w:basedOn w:val="a"/>
    <w:link w:val="a9"/>
    <w:uiPriority w:val="99"/>
    <w:unhideWhenUsed/>
    <w:qFormat/>
    <w:rsid w:val="002F557C"/>
    <w:rPr>
      <w:rFonts w:ascii="宋体" w:hAnsi="Courier New" w:cs="Courier New"/>
      <w:szCs w:val="21"/>
    </w:rPr>
  </w:style>
  <w:style w:type="character" w:customStyle="1" w:styleId="a9">
    <w:name w:val="纯文本 字符"/>
    <w:basedOn w:val="a0"/>
    <w:link w:val="a8"/>
    <w:uiPriority w:val="99"/>
    <w:qFormat/>
    <w:rsid w:val="002F557C"/>
    <w:rPr>
      <w:rFonts w:ascii="宋体" w:eastAsia="宋体" w:hAnsi="Courier New" w:cs="Courier New"/>
      <w:szCs w:val="21"/>
    </w:rPr>
  </w:style>
  <w:style w:type="character" w:customStyle="1" w:styleId="FontStyle47">
    <w:name w:val="Font Style47"/>
    <w:autoRedefine/>
    <w:qFormat/>
    <w:rsid w:val="002F557C"/>
    <w:rPr>
      <w:rFonts w:ascii="Times New Roman" w:hAnsi="Times New Roman" w:cs="Times New Roman"/>
      <w:sz w:val="22"/>
      <w:szCs w:val="22"/>
    </w:rPr>
  </w:style>
  <w:style w:type="paragraph" w:styleId="aa">
    <w:name w:val="List Paragraph"/>
    <w:basedOn w:val="a"/>
    <w:autoRedefine/>
    <w:uiPriority w:val="34"/>
    <w:qFormat/>
    <w:rsid w:val="002F557C"/>
    <w:pPr>
      <w:ind w:firstLineChars="200" w:firstLine="420"/>
    </w:pPr>
    <w:rPr>
      <w:rFonts w:asciiTheme="minorHAnsi" w:eastAsiaTheme="minorEastAsia" w:hAnsiTheme="minorHAnsi" w:cstheme="minorBidi"/>
      <w:szCs w:val="22"/>
    </w:rPr>
  </w:style>
  <w:style w:type="paragraph" w:styleId="ab">
    <w:name w:val="Balloon Text"/>
    <w:basedOn w:val="a"/>
    <w:link w:val="ac"/>
    <w:semiHidden/>
    <w:unhideWhenUsed/>
    <w:qFormat/>
    <w:rsid w:val="00A81F0C"/>
    <w:rPr>
      <w:sz w:val="18"/>
      <w:szCs w:val="18"/>
    </w:rPr>
  </w:style>
  <w:style w:type="character" w:customStyle="1" w:styleId="ac">
    <w:name w:val="批注框文本 字符"/>
    <w:basedOn w:val="a0"/>
    <w:link w:val="ab"/>
    <w:uiPriority w:val="99"/>
    <w:semiHidden/>
    <w:rsid w:val="00A81F0C"/>
    <w:rPr>
      <w:rFonts w:ascii="Times New Roman" w:eastAsia="宋体" w:hAnsi="Times New Roman" w:cs="Times New Roman"/>
      <w:sz w:val="18"/>
      <w:szCs w:val="18"/>
    </w:rPr>
  </w:style>
  <w:style w:type="paragraph" w:styleId="ad">
    <w:name w:val="No Spacing"/>
    <w:qFormat/>
    <w:rsid w:val="00FA576D"/>
    <w:pPr>
      <w:widowControl w:val="0"/>
      <w:jc w:val="both"/>
    </w:pPr>
    <w:rPr>
      <w:rFonts w:ascii="Times New Roman" w:eastAsia="宋体" w:hAnsi="Times New Roman" w:cs="Times New Roman"/>
      <w:szCs w:val="24"/>
    </w:rPr>
  </w:style>
  <w:style w:type="paragraph" w:customStyle="1" w:styleId="21">
    <w:name w:val="列出段落2"/>
    <w:basedOn w:val="a"/>
    <w:qFormat/>
    <w:rsid w:val="00FA576D"/>
    <w:pPr>
      <w:widowControl/>
      <w:ind w:firstLineChars="200" w:firstLine="420"/>
      <w:jc w:val="left"/>
    </w:pPr>
    <w:rPr>
      <w:rFonts w:ascii="宋体" w:hAnsi="宋体" w:cs="宋体"/>
      <w:kern w:val="0"/>
      <w:sz w:val="24"/>
    </w:rPr>
  </w:style>
  <w:style w:type="paragraph" w:styleId="ae">
    <w:name w:val="annotation text"/>
    <w:basedOn w:val="a"/>
    <w:link w:val="af"/>
    <w:unhideWhenUsed/>
    <w:qFormat/>
    <w:rsid w:val="00E84CB3"/>
    <w:pPr>
      <w:jc w:val="left"/>
    </w:pPr>
    <w:rPr>
      <w:rFonts w:ascii="宋体" w:hAnsi="宋体" w:cs="宋体"/>
      <w:sz w:val="24"/>
    </w:rPr>
  </w:style>
  <w:style w:type="character" w:customStyle="1" w:styleId="af">
    <w:name w:val="批注文字 字符"/>
    <w:basedOn w:val="a0"/>
    <w:link w:val="ae"/>
    <w:qFormat/>
    <w:rsid w:val="00E84CB3"/>
    <w:rPr>
      <w:rFonts w:ascii="宋体" w:eastAsia="宋体" w:hAnsi="宋体" w:cs="宋体"/>
      <w:sz w:val="24"/>
      <w:szCs w:val="24"/>
    </w:rPr>
  </w:style>
  <w:style w:type="paragraph" w:customStyle="1" w:styleId="11">
    <w:name w:val="列出段落1"/>
    <w:basedOn w:val="a"/>
    <w:uiPriority w:val="34"/>
    <w:qFormat/>
    <w:rsid w:val="00E84CB3"/>
    <w:pPr>
      <w:ind w:firstLineChars="200" w:firstLine="420"/>
    </w:pPr>
    <w:rPr>
      <w:rFonts w:ascii="Calibri" w:hAnsi="Calibri" w:cs="黑体"/>
      <w:szCs w:val="22"/>
    </w:rPr>
  </w:style>
  <w:style w:type="character" w:styleId="af0">
    <w:name w:val="page number"/>
    <w:qFormat/>
    <w:rsid w:val="00D2114A"/>
  </w:style>
  <w:style w:type="character" w:styleId="af1">
    <w:name w:val="line number"/>
    <w:qFormat/>
    <w:rsid w:val="00D2114A"/>
  </w:style>
  <w:style w:type="character" w:styleId="af2">
    <w:name w:val="annotation reference"/>
    <w:uiPriority w:val="99"/>
    <w:qFormat/>
    <w:rsid w:val="00D2114A"/>
    <w:rPr>
      <w:sz w:val="21"/>
      <w:szCs w:val="21"/>
    </w:rPr>
  </w:style>
  <w:style w:type="character" w:customStyle="1" w:styleId="af3">
    <w:name w:val="日期 字符"/>
    <w:link w:val="af4"/>
    <w:qFormat/>
    <w:rsid w:val="00D2114A"/>
    <w:rPr>
      <w:szCs w:val="24"/>
    </w:rPr>
  </w:style>
  <w:style w:type="paragraph" w:styleId="af4">
    <w:name w:val="Date"/>
    <w:basedOn w:val="a"/>
    <w:next w:val="a"/>
    <w:link w:val="af3"/>
    <w:qFormat/>
    <w:rsid w:val="00D2114A"/>
    <w:pPr>
      <w:ind w:leftChars="2500" w:left="100"/>
    </w:pPr>
    <w:rPr>
      <w:rFonts w:asciiTheme="minorHAnsi" w:eastAsiaTheme="minorEastAsia" w:hAnsiTheme="minorHAnsi" w:cstheme="minorBidi"/>
    </w:rPr>
  </w:style>
  <w:style w:type="character" w:customStyle="1" w:styleId="af5">
    <w:name w:val="批注主题 字符"/>
    <w:link w:val="af6"/>
    <w:qFormat/>
    <w:rsid w:val="00D2114A"/>
    <w:rPr>
      <w:b/>
      <w:bCs/>
      <w:szCs w:val="24"/>
    </w:rPr>
  </w:style>
  <w:style w:type="paragraph" w:styleId="af6">
    <w:name w:val="annotation subject"/>
    <w:basedOn w:val="ae"/>
    <w:next w:val="ae"/>
    <w:link w:val="af5"/>
    <w:qFormat/>
    <w:rsid w:val="00D2114A"/>
    <w:rPr>
      <w:rFonts w:asciiTheme="minorHAnsi" w:eastAsiaTheme="minorEastAsia" w:hAnsiTheme="minorHAnsi" w:cstheme="minorBidi"/>
      <w:b/>
      <w:bCs/>
      <w:sz w:val="21"/>
    </w:rPr>
  </w:style>
  <w:style w:type="character" w:customStyle="1" w:styleId="af7">
    <w:name w:val="正文文本 字符"/>
    <w:link w:val="af8"/>
    <w:qFormat/>
    <w:rsid w:val="00D2114A"/>
    <w:rPr>
      <w:rFonts w:ascii="Times New Roman" w:hAnsi="Times New Roman"/>
      <w:szCs w:val="24"/>
    </w:rPr>
  </w:style>
  <w:style w:type="paragraph" w:styleId="af8">
    <w:name w:val="Body Text"/>
    <w:basedOn w:val="a"/>
    <w:link w:val="af7"/>
    <w:qFormat/>
    <w:rsid w:val="00D2114A"/>
    <w:pPr>
      <w:spacing w:after="120"/>
    </w:pPr>
    <w:rPr>
      <w:rFonts w:eastAsiaTheme="minorEastAsia" w:cstheme="minorBidi"/>
    </w:rPr>
  </w:style>
  <w:style w:type="character" w:customStyle="1" w:styleId="af9">
    <w:name w:val="文档结构图 字符"/>
    <w:basedOn w:val="a0"/>
    <w:link w:val="afa"/>
    <w:semiHidden/>
    <w:rsid w:val="00D2114A"/>
    <w:rPr>
      <w:rFonts w:ascii="Times New Roman" w:eastAsia="宋体" w:hAnsi="Times New Roman" w:cs="Times New Roman"/>
      <w:szCs w:val="24"/>
      <w:shd w:val="clear" w:color="auto" w:fill="000080"/>
    </w:rPr>
  </w:style>
  <w:style w:type="paragraph" w:styleId="afa">
    <w:name w:val="Document Map"/>
    <w:basedOn w:val="a"/>
    <w:link w:val="af9"/>
    <w:semiHidden/>
    <w:rsid w:val="00D2114A"/>
    <w:pPr>
      <w:shd w:val="clear" w:color="auto" w:fill="000080"/>
    </w:pPr>
  </w:style>
  <w:style w:type="character" w:customStyle="1" w:styleId="12">
    <w:name w:val="日期 字符1"/>
    <w:basedOn w:val="a0"/>
    <w:uiPriority w:val="99"/>
    <w:semiHidden/>
    <w:rsid w:val="00D2114A"/>
    <w:rPr>
      <w:rFonts w:ascii="Times New Roman" w:eastAsia="宋体" w:hAnsi="Times New Roman" w:cs="Times New Roman"/>
      <w:szCs w:val="24"/>
    </w:rPr>
  </w:style>
  <w:style w:type="character" w:customStyle="1" w:styleId="13">
    <w:name w:val="正文文本 字符1"/>
    <w:basedOn w:val="a0"/>
    <w:uiPriority w:val="99"/>
    <w:semiHidden/>
    <w:rsid w:val="00D2114A"/>
    <w:rPr>
      <w:rFonts w:ascii="Times New Roman" w:eastAsia="宋体" w:hAnsi="Times New Roman" w:cs="Times New Roman"/>
      <w:szCs w:val="24"/>
    </w:rPr>
  </w:style>
  <w:style w:type="character" w:customStyle="1" w:styleId="14">
    <w:name w:val="批注主题 字符1"/>
    <w:basedOn w:val="af"/>
    <w:uiPriority w:val="99"/>
    <w:semiHidden/>
    <w:rsid w:val="00D2114A"/>
    <w:rPr>
      <w:rFonts w:ascii="Times New Roman" w:eastAsia="宋体" w:hAnsi="Times New Roman" w:cs="Times New Roman"/>
      <w:b/>
      <w:bCs/>
      <w:sz w:val="24"/>
      <w:szCs w:val="24"/>
    </w:rPr>
  </w:style>
  <w:style w:type="paragraph" w:styleId="afb">
    <w:name w:val="Revision"/>
    <w:hidden/>
    <w:uiPriority w:val="99"/>
    <w:unhideWhenUsed/>
    <w:rsid w:val="00D2114A"/>
    <w:rPr>
      <w:rFonts w:ascii="Times New Roman" w:eastAsia="宋体" w:hAnsi="Times New Roman" w:cs="Times New Roman"/>
      <w:szCs w:val="24"/>
    </w:rPr>
  </w:style>
  <w:style w:type="paragraph" w:customStyle="1" w:styleId="Default">
    <w:name w:val="Default"/>
    <w:qFormat/>
    <w:rsid w:val="00D2114A"/>
    <w:pPr>
      <w:widowControl w:val="0"/>
      <w:autoSpaceDE w:val="0"/>
      <w:autoSpaceDN w:val="0"/>
      <w:adjustRightInd w:val="0"/>
    </w:pPr>
    <w:rPr>
      <w:rFonts w:ascii="黑体" w:eastAsia="黑体" w:hAnsi="Times New Roman" w:cs="黑体"/>
      <w:color w:val="000000"/>
      <w:kern w:val="0"/>
      <w:sz w:val="24"/>
      <w:szCs w:val="24"/>
    </w:rPr>
  </w:style>
  <w:style w:type="table" w:styleId="afc">
    <w:name w:val="Table Grid"/>
    <w:basedOn w:val="a1"/>
    <w:uiPriority w:val="39"/>
    <w:qFormat/>
    <w:rsid w:val="00D941B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普通(Web)"/>
    <w:basedOn w:val="a"/>
    <w:qFormat/>
    <w:rsid w:val="00137012"/>
    <w:pPr>
      <w:widowControl/>
      <w:spacing w:before="100" w:beforeAutospacing="1" w:after="100" w:afterAutospacing="1"/>
      <w:jc w:val="left"/>
    </w:pPr>
    <w:rPr>
      <w:rFonts w:ascii="宋体" w:hAnsi="宋体"/>
      <w:color w:val="000000"/>
      <w:kern w:val="0"/>
      <w:sz w:val="24"/>
    </w:rPr>
  </w:style>
  <w:style w:type="paragraph" w:styleId="afd">
    <w:name w:val="footnote text"/>
    <w:basedOn w:val="a"/>
    <w:link w:val="afe"/>
    <w:unhideWhenUsed/>
    <w:qFormat/>
    <w:rsid w:val="002D5575"/>
    <w:pPr>
      <w:snapToGrid w:val="0"/>
      <w:jc w:val="left"/>
    </w:pPr>
    <w:rPr>
      <w:rFonts w:eastAsia="Adobe 仿宋 Std R"/>
      <w:sz w:val="18"/>
      <w:szCs w:val="18"/>
    </w:rPr>
  </w:style>
  <w:style w:type="character" w:customStyle="1" w:styleId="afe">
    <w:name w:val="脚注文本 字符"/>
    <w:basedOn w:val="a0"/>
    <w:link w:val="afd"/>
    <w:uiPriority w:val="99"/>
    <w:semiHidden/>
    <w:rsid w:val="002D5575"/>
    <w:rPr>
      <w:rFonts w:ascii="Times New Roman" w:eastAsia="Adobe 仿宋 Std R" w:hAnsi="Times New Roman" w:cs="Times New Roman"/>
      <w:sz w:val="18"/>
      <w:szCs w:val="18"/>
    </w:rPr>
  </w:style>
  <w:style w:type="character" w:styleId="aff">
    <w:name w:val="footnote reference"/>
    <w:unhideWhenUsed/>
    <w:qFormat/>
    <w:rsid w:val="002D5575"/>
    <w:rPr>
      <w:vertAlign w:val="superscript"/>
    </w:rPr>
  </w:style>
  <w:style w:type="character" w:styleId="aff0">
    <w:name w:val="Hyperlink"/>
    <w:basedOn w:val="a0"/>
    <w:qFormat/>
    <w:rsid w:val="004067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048139">
      <w:bodyDiv w:val="1"/>
      <w:marLeft w:val="0"/>
      <w:marRight w:val="0"/>
      <w:marTop w:val="0"/>
      <w:marBottom w:val="0"/>
      <w:divBdr>
        <w:top w:val="none" w:sz="0" w:space="0" w:color="auto"/>
        <w:left w:val="none" w:sz="0" w:space="0" w:color="auto"/>
        <w:bottom w:val="none" w:sz="0" w:space="0" w:color="auto"/>
        <w:right w:val="none" w:sz="0" w:space="0" w:color="auto"/>
      </w:divBdr>
    </w:div>
    <w:div w:id="17060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A6F09-F31C-4140-B1DB-0398CEA3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1482</Words>
  <Characters>8452</Characters>
  <Application>Microsoft Office Word</Application>
  <DocSecurity>0</DocSecurity>
  <Lines>70</Lines>
  <Paragraphs>19</Paragraphs>
  <ScaleCrop>false</ScaleCrop>
  <Company>神州网信技术有限公司</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屈贝贝</cp:lastModifiedBy>
  <cp:revision>5</cp:revision>
  <cp:lastPrinted>2025-04-22T06:56:00Z</cp:lastPrinted>
  <dcterms:created xsi:type="dcterms:W3CDTF">2025-08-06T00:42:00Z</dcterms:created>
  <dcterms:modified xsi:type="dcterms:W3CDTF">2025-08-21T01:37:00Z</dcterms:modified>
</cp:coreProperties>
</file>