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AE5" w:rsidRPr="000D139A" w:rsidRDefault="00230AE5" w:rsidP="000D139A">
      <w:pPr>
        <w:spacing w:line="600" w:lineRule="exact"/>
        <w:jc w:val="left"/>
        <w:rPr>
          <w:rFonts w:eastAsia="黑体"/>
          <w:sz w:val="32"/>
          <w:szCs w:val="32"/>
        </w:rPr>
      </w:pPr>
      <w:r w:rsidRPr="000D139A">
        <w:rPr>
          <w:rFonts w:eastAsia="黑体"/>
          <w:sz w:val="32"/>
          <w:szCs w:val="32"/>
        </w:rPr>
        <w:t>附件</w:t>
      </w:r>
    </w:p>
    <w:p w:rsidR="00230AE5" w:rsidRPr="000D139A" w:rsidRDefault="00230AE5" w:rsidP="000D139A">
      <w:pPr>
        <w:spacing w:line="600" w:lineRule="exact"/>
        <w:jc w:val="center"/>
        <w:rPr>
          <w:rFonts w:eastAsia="方正小标宋简体"/>
          <w:sz w:val="44"/>
          <w:szCs w:val="44"/>
        </w:rPr>
      </w:pPr>
    </w:p>
    <w:p w:rsidR="000D139A" w:rsidRPr="000D139A" w:rsidRDefault="000D139A" w:rsidP="000D139A">
      <w:pPr>
        <w:spacing w:line="600" w:lineRule="exact"/>
        <w:jc w:val="center"/>
        <w:rPr>
          <w:rFonts w:eastAsia="方正小标宋简体"/>
          <w:bCs/>
          <w:sz w:val="44"/>
          <w:szCs w:val="44"/>
        </w:rPr>
      </w:pPr>
      <w:r w:rsidRPr="000D139A">
        <w:rPr>
          <w:rFonts w:eastAsia="方正小标宋简体"/>
          <w:bCs/>
          <w:sz w:val="44"/>
          <w:szCs w:val="44"/>
        </w:rPr>
        <w:t>预充式导管冲洗器注册审查指导原则</w:t>
      </w:r>
    </w:p>
    <w:p w:rsidR="000D139A" w:rsidRPr="000D139A" w:rsidRDefault="000D139A" w:rsidP="000D139A">
      <w:pPr>
        <w:adjustRightInd w:val="0"/>
        <w:snapToGrid w:val="0"/>
        <w:spacing w:beforeLines="100" w:before="312" w:line="560" w:lineRule="exact"/>
        <w:ind w:firstLineChars="200" w:firstLine="640"/>
        <w:rPr>
          <w:rFonts w:eastAsia="仿宋_GB2312"/>
          <w:bCs/>
          <w:sz w:val="32"/>
          <w:szCs w:val="32"/>
        </w:rPr>
      </w:pPr>
      <w:r w:rsidRPr="000D139A">
        <w:rPr>
          <w:rFonts w:eastAsia="仿宋_GB2312"/>
          <w:bCs/>
          <w:sz w:val="32"/>
          <w:szCs w:val="32"/>
        </w:rPr>
        <w:t>本指导原则旨在指导注册申请人对预充式导管冲洗器（以下简称</w:t>
      </w:r>
      <w:r w:rsidRPr="000D139A">
        <w:rPr>
          <w:rFonts w:eastAsia="仿宋_GB2312"/>
          <w:bCs/>
          <w:sz w:val="32"/>
          <w:szCs w:val="32"/>
        </w:rPr>
        <w:t>“</w:t>
      </w:r>
      <w:r w:rsidRPr="000D139A">
        <w:rPr>
          <w:rFonts w:eastAsia="仿宋_GB2312"/>
          <w:bCs/>
          <w:sz w:val="32"/>
          <w:szCs w:val="32"/>
        </w:rPr>
        <w:t>冲洗器</w:t>
      </w:r>
      <w:r w:rsidRPr="000D139A">
        <w:rPr>
          <w:rFonts w:eastAsia="仿宋_GB2312"/>
          <w:bCs/>
          <w:sz w:val="32"/>
          <w:szCs w:val="32"/>
        </w:rPr>
        <w:t>”</w:t>
      </w:r>
      <w:r w:rsidRPr="000D139A">
        <w:rPr>
          <w:rFonts w:eastAsia="仿宋_GB2312"/>
          <w:bCs/>
          <w:sz w:val="32"/>
          <w:szCs w:val="32"/>
        </w:rPr>
        <w:t>）注册申报资料的准备及撰写，同时也为技术审评部门提供参考。</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本指导原则是对冲洗器的一般要求，注册申请人应依据产品的具体特性确定其中内容是否适用。若不适用，需具体阐述理由及相应的科学依据，并依据的具体特性对注册申报资料的内容进行充实和细化。</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本指导原则是在现行法规和标准体系以及当前认知水平下制定，随着法规和标准的不断完善，以及科学技术的不断发展，相关内容也将适时进行调整。</w:t>
      </w:r>
    </w:p>
    <w:p w:rsidR="000D139A" w:rsidRPr="000D139A" w:rsidRDefault="000D139A" w:rsidP="000D139A">
      <w:pPr>
        <w:adjustRightInd w:val="0"/>
        <w:snapToGrid w:val="0"/>
        <w:spacing w:line="560" w:lineRule="exact"/>
        <w:ind w:firstLineChars="200" w:firstLine="640"/>
        <w:rPr>
          <w:rFonts w:eastAsia="黑体"/>
          <w:bCs/>
          <w:sz w:val="32"/>
          <w:szCs w:val="32"/>
        </w:rPr>
      </w:pPr>
      <w:r w:rsidRPr="000D139A">
        <w:rPr>
          <w:rFonts w:eastAsia="黑体"/>
          <w:bCs/>
          <w:sz w:val="32"/>
          <w:szCs w:val="32"/>
        </w:rPr>
        <w:t>一、适用范围</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本指导原则适用的预充式导管冲洗器</w:t>
      </w:r>
      <w:bookmarkStart w:id="0" w:name="OLE_LINK40"/>
      <w:r w:rsidRPr="000D139A">
        <w:rPr>
          <w:rFonts w:eastAsia="仿宋_GB2312"/>
          <w:bCs/>
          <w:sz w:val="32"/>
          <w:szCs w:val="32"/>
        </w:rPr>
        <w:t>用于不同药物输注治疗的间隙，封闭、冲洗导管的管路末端。</w:t>
      </w:r>
      <w:bookmarkEnd w:id="0"/>
      <w:r w:rsidRPr="000D139A">
        <w:rPr>
          <w:rFonts w:eastAsia="仿宋_GB2312"/>
          <w:bCs/>
          <w:sz w:val="32"/>
          <w:szCs w:val="32"/>
        </w:rPr>
        <w:t>一般由外套、芯杆、活塞、锥头护帽组成，预充了符合《中华人民共和国药典》（以下简称《中国药典》）规定的氯化钠注射液。冲洗器为一次性使用</w:t>
      </w:r>
      <w:r w:rsidRPr="000D139A">
        <w:rPr>
          <w:rFonts w:eastAsia="仿宋_GB2312"/>
          <w:bCs/>
          <w:sz w:val="32"/>
          <w:szCs w:val="32"/>
        </w:rPr>
        <w:lastRenderedPageBreak/>
        <w:t>无菌医疗器械，通常采用湿热灭菌。</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冲洗器中预充液体仅为氯化钠注射液，不包含其他液体成分。按现行《医疗器械分类目录》规定</w:t>
      </w:r>
      <w:r w:rsidRPr="000D139A">
        <w:rPr>
          <w:rFonts w:eastAsia="仿宋_GB2312"/>
          <w:sz w:val="32"/>
        </w:rPr>
        <w:t>，</w:t>
      </w:r>
      <w:r w:rsidRPr="000D139A">
        <w:rPr>
          <w:rFonts w:eastAsia="仿宋_GB2312"/>
          <w:bCs/>
          <w:sz w:val="32"/>
          <w:szCs w:val="32"/>
        </w:rPr>
        <w:t>分类编码为</w:t>
      </w:r>
      <w:r w:rsidRPr="000D139A">
        <w:rPr>
          <w:rFonts w:eastAsia="仿宋_GB2312"/>
          <w:bCs/>
          <w:sz w:val="32"/>
          <w:szCs w:val="32"/>
        </w:rPr>
        <w:t>14</w:t>
      </w:r>
      <w:r w:rsidRPr="000D139A">
        <w:rPr>
          <w:rFonts w:eastAsia="仿宋_GB2312"/>
          <w:bCs/>
          <w:sz w:val="32"/>
          <w:szCs w:val="32"/>
        </w:rPr>
        <w:t>（注输、护理和防护器械）</w:t>
      </w:r>
      <w:r w:rsidRPr="000D139A">
        <w:rPr>
          <w:rFonts w:eastAsia="仿宋_GB2312"/>
          <w:bCs/>
          <w:sz w:val="32"/>
          <w:szCs w:val="32"/>
        </w:rPr>
        <w:t>-16</w:t>
      </w:r>
      <w:r w:rsidRPr="000D139A">
        <w:rPr>
          <w:rFonts w:eastAsia="仿宋_GB2312"/>
          <w:bCs/>
          <w:sz w:val="32"/>
          <w:szCs w:val="32"/>
        </w:rPr>
        <w:t>（其它器械）</w:t>
      </w:r>
      <w:r w:rsidRPr="000D139A">
        <w:rPr>
          <w:rFonts w:eastAsia="仿宋_GB2312"/>
          <w:bCs/>
          <w:sz w:val="32"/>
          <w:szCs w:val="32"/>
        </w:rPr>
        <w:t>-03</w:t>
      </w:r>
      <w:r w:rsidRPr="000D139A">
        <w:rPr>
          <w:rFonts w:eastAsia="仿宋_GB2312"/>
          <w:bCs/>
          <w:sz w:val="32"/>
          <w:szCs w:val="32"/>
        </w:rPr>
        <w:t>（</w:t>
      </w:r>
      <w:bookmarkStart w:id="1" w:name="OLE_LINK39"/>
      <w:r w:rsidRPr="000D139A">
        <w:rPr>
          <w:rFonts w:eastAsia="仿宋_GB2312"/>
          <w:bCs/>
          <w:sz w:val="32"/>
          <w:szCs w:val="32"/>
        </w:rPr>
        <w:t>预充式导管冲洗器</w:t>
      </w:r>
      <w:bookmarkEnd w:id="1"/>
      <w:r w:rsidRPr="000D139A">
        <w:rPr>
          <w:rFonts w:eastAsia="仿宋_GB2312"/>
          <w:bCs/>
          <w:sz w:val="32"/>
          <w:szCs w:val="32"/>
        </w:rPr>
        <w:t>）。管理类别为</w:t>
      </w:r>
      <w:r w:rsidRPr="000D139A">
        <w:rPr>
          <w:sz w:val="32"/>
        </w:rPr>
        <w:t>Ⅲ</w:t>
      </w:r>
      <w:r w:rsidRPr="000D139A">
        <w:rPr>
          <w:rFonts w:eastAsia="仿宋_GB2312"/>
          <w:sz w:val="32"/>
        </w:rPr>
        <w:t>类医疗器械。</w:t>
      </w:r>
    </w:p>
    <w:p w:rsidR="000D139A" w:rsidRPr="000D139A" w:rsidRDefault="000D139A" w:rsidP="000D139A">
      <w:pPr>
        <w:adjustRightInd w:val="0"/>
        <w:snapToGrid w:val="0"/>
        <w:spacing w:line="560" w:lineRule="exact"/>
        <w:ind w:firstLineChars="200" w:firstLine="640"/>
        <w:rPr>
          <w:rFonts w:eastAsia="黑体"/>
          <w:bCs/>
          <w:sz w:val="32"/>
          <w:szCs w:val="32"/>
        </w:rPr>
      </w:pPr>
      <w:r w:rsidRPr="000D139A">
        <w:rPr>
          <w:rFonts w:eastAsia="黑体"/>
          <w:bCs/>
          <w:sz w:val="32"/>
          <w:szCs w:val="32"/>
        </w:rPr>
        <w:t>二、注册审查要点</w:t>
      </w:r>
    </w:p>
    <w:p w:rsidR="000D139A" w:rsidRPr="000D139A" w:rsidRDefault="000D139A" w:rsidP="000D139A">
      <w:pPr>
        <w:adjustRightInd w:val="0"/>
        <w:snapToGrid w:val="0"/>
        <w:spacing w:line="560" w:lineRule="exact"/>
        <w:ind w:firstLineChars="200" w:firstLine="640"/>
        <w:rPr>
          <w:rFonts w:ascii="楷体_GB2312" w:eastAsia="楷体_GB2312"/>
          <w:bCs/>
          <w:sz w:val="32"/>
          <w:szCs w:val="32"/>
        </w:rPr>
      </w:pPr>
      <w:r w:rsidRPr="000D139A">
        <w:rPr>
          <w:rFonts w:ascii="楷体_GB2312" w:eastAsia="楷体_GB2312" w:hint="eastAsia"/>
          <w:bCs/>
          <w:sz w:val="32"/>
          <w:szCs w:val="32"/>
        </w:rPr>
        <w:t>（一）监管信息</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color w:val="000000"/>
          <w:sz w:val="32"/>
          <w:szCs w:val="32"/>
        </w:rPr>
        <w:t>根据《国家药监局综合司关于明确预充式导管冲洗器（生理盐水）注册质量管理体系核查有关问题的复函（药监综械注函〔</w:t>
      </w:r>
      <w:r w:rsidRPr="000D139A">
        <w:rPr>
          <w:rFonts w:eastAsia="仿宋_GB2312"/>
          <w:bCs/>
          <w:color w:val="000000"/>
          <w:sz w:val="32"/>
          <w:szCs w:val="32"/>
        </w:rPr>
        <w:t>2019</w:t>
      </w:r>
      <w:r w:rsidRPr="000D139A">
        <w:rPr>
          <w:rFonts w:eastAsia="仿宋_GB2312"/>
          <w:bCs/>
          <w:color w:val="000000"/>
          <w:sz w:val="32"/>
          <w:szCs w:val="32"/>
        </w:rPr>
        <w:t>〕</w:t>
      </w:r>
      <w:r w:rsidRPr="000D139A">
        <w:rPr>
          <w:rFonts w:eastAsia="仿宋_GB2312"/>
          <w:bCs/>
          <w:color w:val="000000"/>
          <w:sz w:val="32"/>
          <w:szCs w:val="32"/>
        </w:rPr>
        <w:t>17</w:t>
      </w:r>
      <w:r w:rsidRPr="000D139A">
        <w:rPr>
          <w:rFonts w:eastAsia="仿宋_GB2312"/>
          <w:bCs/>
          <w:color w:val="000000"/>
          <w:sz w:val="32"/>
          <w:szCs w:val="32"/>
        </w:rPr>
        <w:t>号）》文件</w:t>
      </w:r>
      <w:r w:rsidRPr="000D139A">
        <w:rPr>
          <w:rFonts w:eastAsia="仿宋_GB2312"/>
          <w:bCs/>
          <w:sz w:val="32"/>
          <w:szCs w:val="32"/>
        </w:rPr>
        <w:t>专门规定：为保证产品的安全性，该产品生产过程除须符合《医疗器械生产质量管理规范》及相关规定外，其预充氯化钠注射液的生产灌装过程还应同时符合《药品生产质量管理规范》的有关规定；产品中预充的氯化钠注射液应取得我国的药品批准证明文件，并符合《中国药典》关于氯化钠注射液的检验要求。</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bCs/>
          <w:sz w:val="32"/>
          <w:szCs w:val="32"/>
        </w:rPr>
        <w:t>描述产品</w:t>
      </w:r>
      <w:r w:rsidRPr="000D139A">
        <w:rPr>
          <w:rFonts w:eastAsia="仿宋_GB2312"/>
          <w:bCs/>
          <w:spacing w:val="6"/>
          <w:sz w:val="32"/>
          <w:szCs w:val="32"/>
        </w:rPr>
        <w:t>适用范围。</w:t>
      </w:r>
      <w:r w:rsidRPr="000D139A">
        <w:rPr>
          <w:rFonts w:eastAsia="仿宋_GB2312"/>
          <w:sz w:val="32"/>
          <w:szCs w:val="32"/>
        </w:rPr>
        <w:t>可以包括产品列表、既往沟通记录（如适用）、主文档授权信（如适用）以及符合性声明等文件。</w:t>
      </w:r>
    </w:p>
    <w:p w:rsidR="000D139A" w:rsidRPr="000D139A" w:rsidRDefault="000D139A" w:rsidP="000D139A">
      <w:pPr>
        <w:adjustRightInd w:val="0"/>
        <w:snapToGrid w:val="0"/>
        <w:spacing w:line="560" w:lineRule="exact"/>
        <w:ind w:firstLineChars="200" w:firstLine="640"/>
        <w:rPr>
          <w:rFonts w:ascii="楷体_GB2312" w:eastAsia="楷体_GB2312"/>
          <w:bCs/>
          <w:sz w:val="32"/>
          <w:szCs w:val="32"/>
        </w:rPr>
      </w:pPr>
      <w:r w:rsidRPr="000D139A">
        <w:rPr>
          <w:rFonts w:ascii="楷体_GB2312" w:eastAsia="楷体_GB2312" w:hint="eastAsia"/>
          <w:bCs/>
          <w:sz w:val="32"/>
          <w:szCs w:val="32"/>
        </w:rPr>
        <w:t>（二）综述资料</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bCs/>
          <w:sz w:val="32"/>
          <w:szCs w:val="32"/>
        </w:rPr>
        <w:t>1.</w:t>
      </w:r>
      <w:bookmarkStart w:id="2" w:name="_Toc431215378"/>
      <w:r w:rsidRPr="000D139A">
        <w:rPr>
          <w:rFonts w:eastAsia="仿宋_GB2312"/>
          <w:sz w:val="32"/>
          <w:szCs w:val="32"/>
        </w:rPr>
        <w:t xml:space="preserve"> </w:t>
      </w:r>
      <w:r w:rsidRPr="000D139A">
        <w:rPr>
          <w:rFonts w:eastAsia="仿宋_GB2312"/>
          <w:sz w:val="32"/>
          <w:szCs w:val="32"/>
        </w:rPr>
        <w:t>概述</w:t>
      </w:r>
      <w:bookmarkEnd w:id="2"/>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描述申报产品通用名称及其确定依据、管理类别、分类编码和适用范围等。</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2.</w:t>
      </w:r>
      <w:r w:rsidRPr="000D139A">
        <w:rPr>
          <w:rFonts w:eastAsia="仿宋_GB2312"/>
          <w:bCs/>
          <w:sz w:val="32"/>
          <w:szCs w:val="32"/>
        </w:rPr>
        <w:t>产品描述</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描述工作原理、作用机理（如适用）、结构及组成、各组件</w:t>
      </w:r>
      <w:r w:rsidRPr="000D139A">
        <w:rPr>
          <w:rFonts w:eastAsia="仿宋_GB2312"/>
          <w:bCs/>
          <w:sz w:val="32"/>
          <w:szCs w:val="32"/>
        </w:rPr>
        <w:lastRenderedPageBreak/>
        <w:t>原材料、交付状态及灭菌方式，结构示意图和</w:t>
      </w:r>
      <w:r w:rsidRPr="000D139A">
        <w:rPr>
          <w:rFonts w:eastAsia="仿宋_GB2312"/>
          <w:bCs/>
          <w:sz w:val="32"/>
          <w:szCs w:val="32"/>
        </w:rPr>
        <w:t>/</w:t>
      </w:r>
      <w:r w:rsidRPr="000D139A">
        <w:rPr>
          <w:rFonts w:eastAsia="仿宋_GB2312"/>
          <w:bCs/>
          <w:sz w:val="32"/>
          <w:szCs w:val="32"/>
        </w:rPr>
        <w:t>或产品图示、使用方法及图示（如适用）以及区别于其他同类产品的特征等内容。必要时提供图示说明。</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3.</w:t>
      </w:r>
      <w:r w:rsidRPr="000D139A">
        <w:rPr>
          <w:rFonts w:eastAsia="仿宋_GB2312"/>
          <w:bCs/>
          <w:sz w:val="32"/>
          <w:szCs w:val="32"/>
        </w:rPr>
        <w:t>型号规格</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对于存在多种型号规格的冲洗器，应当明确各型号规格的区别。采用对比表或带有说明性文字的图片、图表，描述各种型号规格的结构组成、功能、产品特征和技术参数等内容。</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4.</w:t>
      </w:r>
      <w:r w:rsidRPr="000D139A">
        <w:rPr>
          <w:rFonts w:eastAsia="仿宋_GB2312"/>
          <w:bCs/>
          <w:sz w:val="32"/>
          <w:szCs w:val="32"/>
        </w:rPr>
        <w:t>包装说明</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提供冲洗器包装相关的信息，特别应当仔细说明其无菌屏障系统（包括与灭菌方法相适应的最初包装，如适用）的信息与资料。</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5.</w:t>
      </w:r>
      <w:r w:rsidRPr="000D139A">
        <w:rPr>
          <w:rFonts w:eastAsia="仿宋_GB2312"/>
          <w:bCs/>
          <w:sz w:val="32"/>
          <w:szCs w:val="32"/>
        </w:rPr>
        <w:t>研发历程</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阐述冲洗器的研发背景和目的。如有参考的同类产品或前代产品，应当提供同类产品或前代产品的信息，并说明选择其作为研发参考的原因。</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6.</w:t>
      </w:r>
      <w:r w:rsidRPr="000D139A">
        <w:rPr>
          <w:rFonts w:eastAsia="仿宋_GB2312"/>
          <w:bCs/>
          <w:sz w:val="32"/>
          <w:szCs w:val="32"/>
        </w:rPr>
        <w:t>与同类和</w:t>
      </w:r>
      <w:r w:rsidRPr="000D139A">
        <w:rPr>
          <w:rFonts w:eastAsia="仿宋_GB2312"/>
          <w:bCs/>
          <w:sz w:val="32"/>
          <w:szCs w:val="32"/>
        </w:rPr>
        <w:t>/</w:t>
      </w:r>
      <w:r w:rsidRPr="000D139A">
        <w:rPr>
          <w:rFonts w:eastAsia="仿宋_GB2312"/>
          <w:bCs/>
          <w:sz w:val="32"/>
          <w:szCs w:val="32"/>
        </w:rPr>
        <w:t>或前代产品的参考和比较</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列表比较说明申报冲洗器与同类产品和</w:t>
      </w:r>
      <w:r w:rsidRPr="000D139A">
        <w:rPr>
          <w:rFonts w:eastAsia="仿宋_GB2312"/>
          <w:bCs/>
          <w:sz w:val="32"/>
          <w:szCs w:val="32"/>
        </w:rPr>
        <w:t>/</w:t>
      </w:r>
      <w:r w:rsidRPr="000D139A">
        <w:rPr>
          <w:rFonts w:eastAsia="仿宋_GB2312"/>
          <w:bCs/>
          <w:sz w:val="32"/>
          <w:szCs w:val="32"/>
        </w:rPr>
        <w:t>或前代产品在工作原理、结构组成、制造材料、性能指标、作用方式，以及适用范围等方面的异同。</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7.</w:t>
      </w:r>
      <w:r w:rsidRPr="000D139A">
        <w:rPr>
          <w:rFonts w:eastAsia="仿宋_GB2312"/>
          <w:bCs/>
          <w:sz w:val="32"/>
          <w:szCs w:val="32"/>
        </w:rPr>
        <w:t>适用范围和禁忌证</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lang w:val="en"/>
        </w:rPr>
        <w:t>7.1</w:t>
      </w:r>
      <w:r w:rsidRPr="000D139A">
        <w:rPr>
          <w:rFonts w:eastAsia="仿宋_GB2312"/>
          <w:bCs/>
          <w:sz w:val="32"/>
          <w:szCs w:val="32"/>
        </w:rPr>
        <w:t>适用范围：应当明确所申报冲洗器可提供的功能，写明预期用途，描述其适用的医疗阶段。明确使用者应当具备的技能，说明组合使用实现预期用途的其他产品（如适用）。</w:t>
      </w:r>
    </w:p>
    <w:p w:rsidR="000D139A" w:rsidRPr="000D139A" w:rsidRDefault="000D139A" w:rsidP="000D139A">
      <w:pPr>
        <w:adjustRightInd w:val="0"/>
        <w:snapToGrid w:val="0"/>
        <w:spacing w:line="560" w:lineRule="exact"/>
        <w:ind w:firstLineChars="200" w:firstLine="640"/>
        <w:rPr>
          <w:rFonts w:eastAsia="仿宋_GB2312"/>
          <w:bCs/>
          <w:color w:val="3366CC"/>
          <w:sz w:val="32"/>
          <w:szCs w:val="32"/>
        </w:rPr>
      </w:pPr>
      <w:r w:rsidRPr="000D139A">
        <w:rPr>
          <w:rFonts w:eastAsia="仿宋_GB2312"/>
          <w:bCs/>
          <w:sz w:val="32"/>
          <w:szCs w:val="32"/>
          <w:lang w:val="en"/>
        </w:rPr>
        <w:lastRenderedPageBreak/>
        <w:t>7.2</w:t>
      </w:r>
      <w:r w:rsidRPr="000D139A">
        <w:rPr>
          <w:rFonts w:eastAsia="仿宋_GB2312"/>
          <w:bCs/>
          <w:sz w:val="32"/>
          <w:szCs w:val="32"/>
        </w:rPr>
        <w:t>预期使用环境：明确冲洗器预期使用的地点（如医疗机构，尤其注明可否在无菌界面使用），说明可能影响其安全性和有效性的环境条件。</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lang w:val="en"/>
        </w:rPr>
        <w:t>7.3</w:t>
      </w:r>
      <w:r w:rsidRPr="000D139A">
        <w:rPr>
          <w:rFonts w:eastAsia="仿宋_GB2312"/>
          <w:bCs/>
          <w:sz w:val="32"/>
          <w:szCs w:val="32"/>
        </w:rPr>
        <w:t>适用人群：如对使用者有特殊要求，应注明。</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lang w:val="en"/>
        </w:rPr>
        <w:t>7.4</w:t>
      </w:r>
      <w:r w:rsidRPr="000D139A">
        <w:rPr>
          <w:rFonts w:eastAsia="仿宋_GB2312"/>
          <w:bCs/>
          <w:sz w:val="32"/>
          <w:szCs w:val="32"/>
        </w:rPr>
        <w:t>禁忌证（如适用）。</w:t>
      </w:r>
      <w:r w:rsidRPr="000D139A">
        <w:rPr>
          <w:rFonts w:eastAsia="仿宋_GB2312"/>
          <w:bCs/>
          <w:sz w:val="32"/>
          <w:szCs w:val="32"/>
        </w:rPr>
        <w:t xml:space="preserve"> </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8.</w:t>
      </w:r>
      <w:r w:rsidRPr="000D139A">
        <w:rPr>
          <w:rFonts w:eastAsia="仿宋_GB2312"/>
          <w:bCs/>
          <w:sz w:val="32"/>
          <w:szCs w:val="32"/>
        </w:rPr>
        <w:t>申报冲洗器全球上市历程</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如适用，应当提交下列资料：</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8.1</w:t>
      </w:r>
      <w:r w:rsidRPr="000D139A">
        <w:rPr>
          <w:rFonts w:eastAsia="仿宋_GB2312"/>
          <w:bCs/>
          <w:sz w:val="32"/>
          <w:szCs w:val="32"/>
        </w:rPr>
        <w:t>上市情况</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截至提交注册申请前，冲洗器在各国家或地区的上市批准时间、销售情况。若在不同国家或地区上市时有差异（如设计、标签、技术参数等），应当逐一描述。</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8.2</w:t>
      </w:r>
      <w:r w:rsidRPr="000D139A">
        <w:rPr>
          <w:rFonts w:eastAsia="仿宋_GB2312"/>
          <w:bCs/>
          <w:sz w:val="32"/>
          <w:szCs w:val="32"/>
        </w:rPr>
        <w:t>不良事件和召回</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如适用，应当以列表形式提供冲洗器上市后发生的不良事件、召回的发生时间、采取的处理和解决方案。分析不良事件、召回发生的原因，以及对安全性、有效性的影响。</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 xml:space="preserve">8.3 </w:t>
      </w:r>
      <w:r w:rsidRPr="000D139A">
        <w:rPr>
          <w:rFonts w:eastAsia="仿宋_GB2312"/>
          <w:bCs/>
          <w:sz w:val="32"/>
          <w:szCs w:val="32"/>
        </w:rPr>
        <w:t>销售、不良事件及召回率</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如适用，应当提交申报冲洗器近五年在各国家（地区）销售数量的总结、不良事件、召回比率。</w:t>
      </w:r>
    </w:p>
    <w:p w:rsidR="000D139A" w:rsidRPr="000D139A" w:rsidRDefault="000D139A" w:rsidP="000D139A">
      <w:pPr>
        <w:adjustRightInd w:val="0"/>
        <w:snapToGrid w:val="0"/>
        <w:spacing w:line="560" w:lineRule="exact"/>
        <w:ind w:firstLineChars="200" w:firstLine="640"/>
        <w:rPr>
          <w:rFonts w:ascii="楷体_GB2312" w:eastAsia="楷体_GB2312"/>
          <w:bCs/>
          <w:sz w:val="32"/>
          <w:szCs w:val="32"/>
        </w:rPr>
      </w:pPr>
      <w:r w:rsidRPr="000D139A">
        <w:rPr>
          <w:rFonts w:ascii="楷体_GB2312" w:eastAsia="楷体_GB2312" w:hint="eastAsia"/>
          <w:bCs/>
          <w:sz w:val="32"/>
          <w:szCs w:val="32"/>
        </w:rPr>
        <w:t>（三）非临床资料</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1.</w:t>
      </w:r>
      <w:r w:rsidRPr="000D139A">
        <w:rPr>
          <w:rFonts w:eastAsia="仿宋_GB2312"/>
          <w:bCs/>
          <w:sz w:val="32"/>
          <w:szCs w:val="32"/>
        </w:rPr>
        <w:t>产品风险管理资料</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产品风险管理资料是对冲洗器的风险管理过程，及其评审结果予以记录所形成的资料，制定该文件时，应充分考虑申报冲洗器的组件、临床使用方式、可能的临床风险。</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lastRenderedPageBreak/>
        <w:t>冲洗器常见的危险源包括但不限于：原材料来源变化、预充液不符合《中国药典》规定、预充液泄漏、冲洗器推注力过大、冲洗器开裂、冲洗器受到细菌污染、容器与所含氯化钠溶液之间的相容性研究结果显示安全隐患、未遵循规定使用、包装破损、未按使用说明书规定步骤使用等。</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应当对冲洗器提供风险分析、风险评价、风险控制、任何一个或多个剩余风险的可接受性评定，以及与产品受益相比综合评价冲洗器风险可接受的文件，并说明对于每项已判定危害的各个过程的可追溯性。</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2.</w:t>
      </w:r>
      <w:r w:rsidRPr="000D139A">
        <w:rPr>
          <w:rFonts w:eastAsia="仿宋_GB2312"/>
          <w:bCs/>
          <w:sz w:val="32"/>
          <w:szCs w:val="32"/>
        </w:rPr>
        <w:t>医疗器械安全和性能基本原则清单</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说明冲洗器符合《医疗器械安全和性能基本原则清单》各项适用要求所采用的方法，以及证明其符合性的文件。对于不适用的各项要求，应当说明理由。</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3.</w:t>
      </w:r>
      <w:r w:rsidRPr="000D139A">
        <w:rPr>
          <w:rFonts w:eastAsia="仿宋_GB2312"/>
          <w:bCs/>
          <w:sz w:val="32"/>
          <w:szCs w:val="32"/>
        </w:rPr>
        <w:t>产品技术要求</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应当按照《医疗器械产品技术要求编写指导原则》的规定编制产品技术要求，技术指标引用标准应当为现行有效版本。常见的参考文件如：《中国药典》</w:t>
      </w:r>
      <w:r w:rsidRPr="000D139A">
        <w:rPr>
          <w:rFonts w:eastAsia="仿宋_GB2312"/>
          <w:sz w:val="32"/>
          <w:szCs w:val="32"/>
        </w:rPr>
        <w:t>、</w:t>
      </w:r>
      <w:r w:rsidRPr="000D139A">
        <w:rPr>
          <w:rFonts w:eastAsia="仿宋_GB2312"/>
          <w:sz w:val="32"/>
          <w:szCs w:val="32"/>
        </w:rPr>
        <w:t>GB 15810</w:t>
      </w:r>
      <w:r w:rsidRPr="000D139A">
        <w:rPr>
          <w:rFonts w:eastAsia="仿宋_GB2312"/>
          <w:bCs/>
          <w:sz w:val="32"/>
          <w:szCs w:val="32"/>
        </w:rPr>
        <w:t>《一</w:t>
      </w:r>
      <w:r w:rsidRPr="000D139A">
        <w:rPr>
          <w:rFonts w:eastAsia="仿宋_GB2312"/>
          <w:sz w:val="32"/>
          <w:szCs w:val="32"/>
        </w:rPr>
        <w:t>次性使用无菌注射器》等</w:t>
      </w:r>
      <w:r w:rsidRPr="000D139A">
        <w:rPr>
          <w:rFonts w:eastAsia="仿宋_GB2312"/>
          <w:bCs/>
          <w:sz w:val="32"/>
          <w:szCs w:val="32"/>
        </w:rPr>
        <w:t>。所有组件、材料对应关系应明确，不用</w:t>
      </w:r>
      <w:r w:rsidRPr="000D139A">
        <w:rPr>
          <w:rFonts w:eastAsia="仿宋_GB2312"/>
          <w:bCs/>
          <w:sz w:val="32"/>
          <w:szCs w:val="32"/>
        </w:rPr>
        <w:t>“</w:t>
      </w:r>
      <w:r w:rsidRPr="000D139A">
        <w:rPr>
          <w:rFonts w:eastAsia="仿宋_GB2312"/>
          <w:bCs/>
          <w:sz w:val="32"/>
          <w:szCs w:val="32"/>
        </w:rPr>
        <w:t>系列</w:t>
      </w:r>
      <w:r w:rsidRPr="000D139A">
        <w:rPr>
          <w:rFonts w:eastAsia="仿宋_GB2312"/>
          <w:bCs/>
          <w:sz w:val="32"/>
          <w:szCs w:val="32"/>
        </w:rPr>
        <w:t>” “</w:t>
      </w:r>
      <w:r w:rsidRPr="000D139A">
        <w:rPr>
          <w:rFonts w:eastAsia="仿宋_GB2312"/>
          <w:bCs/>
          <w:sz w:val="32"/>
          <w:szCs w:val="32"/>
        </w:rPr>
        <w:t>等</w:t>
      </w:r>
      <w:r w:rsidRPr="000D139A">
        <w:rPr>
          <w:rFonts w:eastAsia="仿宋_GB2312"/>
          <w:bCs/>
          <w:sz w:val="32"/>
          <w:szCs w:val="32"/>
        </w:rPr>
        <w:t>”</w:t>
      </w:r>
      <w:r w:rsidRPr="000D139A">
        <w:rPr>
          <w:rFonts w:eastAsia="仿宋_GB2312"/>
          <w:bCs/>
          <w:sz w:val="32"/>
          <w:szCs w:val="32"/>
        </w:rPr>
        <w:t>含糊用词。</w:t>
      </w:r>
      <w:r w:rsidRPr="000D139A">
        <w:rPr>
          <w:rFonts w:eastAsia="仿宋_GB2312"/>
          <w:sz w:val="32"/>
          <w:szCs w:val="32"/>
        </w:rPr>
        <w:t>列明冲洗器具体灭菌方式、有效期等要求</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3.1</w:t>
      </w:r>
      <w:r w:rsidRPr="000D139A">
        <w:rPr>
          <w:rFonts w:eastAsia="仿宋_GB2312"/>
          <w:bCs/>
          <w:sz w:val="32"/>
          <w:szCs w:val="32"/>
        </w:rPr>
        <w:t>产品型号</w:t>
      </w:r>
      <w:r w:rsidRPr="000D139A">
        <w:rPr>
          <w:rFonts w:eastAsia="仿宋_GB2312"/>
          <w:bCs/>
          <w:sz w:val="32"/>
          <w:szCs w:val="32"/>
        </w:rPr>
        <w:t>/</w:t>
      </w:r>
      <w:r w:rsidRPr="000D139A">
        <w:rPr>
          <w:rFonts w:eastAsia="仿宋_GB2312"/>
          <w:bCs/>
          <w:sz w:val="32"/>
          <w:szCs w:val="32"/>
        </w:rPr>
        <w:t>规格及其划分说明</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提供产品规格型号、结构组成示意图，列明各组件名称及制造材料。与预充液接触的组件，应注明其原材料符合的医用级国家标准</w:t>
      </w:r>
      <w:r w:rsidRPr="000D139A">
        <w:rPr>
          <w:rFonts w:eastAsia="仿宋_GB2312"/>
          <w:sz w:val="32"/>
          <w:szCs w:val="32"/>
        </w:rPr>
        <w:t>/</w:t>
      </w:r>
      <w:r w:rsidRPr="000D139A">
        <w:rPr>
          <w:rFonts w:eastAsia="仿宋_GB2312"/>
          <w:sz w:val="32"/>
          <w:szCs w:val="32"/>
        </w:rPr>
        <w:t>行业标准或牌号，</w:t>
      </w:r>
      <w:r w:rsidRPr="000D139A">
        <w:rPr>
          <w:rFonts w:eastAsia="仿宋_GB2312"/>
          <w:bCs/>
          <w:sz w:val="32"/>
          <w:szCs w:val="32"/>
        </w:rPr>
        <w:t>活塞通常为预灌封注射器用卤化丁</w:t>
      </w:r>
      <w:r w:rsidRPr="000D139A">
        <w:rPr>
          <w:rFonts w:eastAsia="仿宋_GB2312"/>
          <w:bCs/>
          <w:sz w:val="32"/>
          <w:szCs w:val="32"/>
        </w:rPr>
        <w:lastRenderedPageBreak/>
        <w:t>基橡胶</w:t>
      </w:r>
      <w:r w:rsidRPr="000D139A">
        <w:rPr>
          <w:rFonts w:eastAsia="仿宋_GB2312"/>
          <w:sz w:val="32"/>
          <w:szCs w:val="32"/>
        </w:rPr>
        <w:t>。</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sz w:val="32"/>
          <w:szCs w:val="32"/>
        </w:rPr>
        <w:t>应明确各型号规格产品之间区别，建议明确预充液装量</w:t>
      </w:r>
      <w:r w:rsidRPr="000D139A">
        <w:rPr>
          <w:rFonts w:eastAsia="仿宋_GB2312"/>
          <w:bCs/>
          <w:sz w:val="32"/>
          <w:szCs w:val="32"/>
        </w:rPr>
        <w:t>等参数。</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3.2</w:t>
      </w:r>
      <w:r w:rsidRPr="000D139A">
        <w:rPr>
          <w:rFonts w:eastAsia="仿宋_GB2312"/>
          <w:bCs/>
          <w:sz w:val="32"/>
          <w:szCs w:val="32"/>
        </w:rPr>
        <w:t>性能指标</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冲洗器各组件应有适宜的性能指标，预充</w:t>
      </w:r>
      <w:r w:rsidRPr="000D139A">
        <w:rPr>
          <w:rFonts w:eastAsia="仿宋_GB2312"/>
          <w:sz w:val="32"/>
          <w:szCs w:val="32"/>
        </w:rPr>
        <w:t>液应符合《中国药典》氯化钠注射液项下所有要求。</w:t>
      </w:r>
      <w:r w:rsidRPr="000D139A">
        <w:rPr>
          <w:rFonts w:eastAsia="仿宋_GB2312"/>
          <w:bCs/>
          <w:sz w:val="32"/>
          <w:szCs w:val="32"/>
        </w:rPr>
        <w:t>对产品宣称的特殊功能，应有专门条款规定</w:t>
      </w:r>
      <w:r w:rsidRPr="000D139A">
        <w:rPr>
          <w:rFonts w:eastAsia="仿宋_GB2312"/>
          <w:sz w:val="32"/>
          <w:szCs w:val="32"/>
        </w:rPr>
        <w:t>。</w:t>
      </w:r>
      <w:r w:rsidRPr="000D139A">
        <w:rPr>
          <w:rFonts w:eastAsia="仿宋_GB2312"/>
          <w:bCs/>
          <w:sz w:val="32"/>
          <w:szCs w:val="32"/>
        </w:rPr>
        <w:t>常见性能指标包括：</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bCs/>
          <w:sz w:val="32"/>
          <w:szCs w:val="32"/>
        </w:rPr>
        <w:t>3.2.1</w:t>
      </w:r>
      <w:r w:rsidRPr="000D139A">
        <w:rPr>
          <w:rFonts w:eastAsia="仿宋_GB2312"/>
          <w:bCs/>
          <w:sz w:val="32"/>
          <w:szCs w:val="32"/>
        </w:rPr>
        <w:t>物理性能常见项目：外观、刻度容量线、计量数字、标尺、外套、活塞、锥头、器身密合性、容量允差、保护帽等。</w:t>
      </w:r>
      <w:r w:rsidRPr="000D139A">
        <w:rPr>
          <w:rFonts w:eastAsia="仿宋_GB2312"/>
          <w:sz w:val="32"/>
          <w:szCs w:val="32"/>
        </w:rPr>
        <w:t>如包含特殊组件、结构，应规定该</w:t>
      </w:r>
      <w:r w:rsidRPr="000D139A">
        <w:rPr>
          <w:rFonts w:eastAsia="仿宋_GB2312"/>
          <w:bCs/>
          <w:sz w:val="32"/>
          <w:szCs w:val="32"/>
        </w:rPr>
        <w:t>组件</w:t>
      </w:r>
      <w:r w:rsidRPr="000D139A">
        <w:rPr>
          <w:rFonts w:eastAsia="仿宋_GB2312"/>
          <w:sz w:val="32"/>
          <w:szCs w:val="32"/>
        </w:rPr>
        <w:t>、结构的尺寸、性能要求。</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lang w:val="en"/>
        </w:rPr>
        <w:t>3.2.2</w:t>
      </w:r>
      <w:r w:rsidRPr="000D139A">
        <w:rPr>
          <w:rFonts w:eastAsia="仿宋_GB2312"/>
          <w:bCs/>
          <w:sz w:val="32"/>
          <w:szCs w:val="32"/>
          <w:lang w:val="en"/>
        </w:rPr>
        <w:t>预充的</w:t>
      </w:r>
      <w:r w:rsidRPr="000D139A">
        <w:rPr>
          <w:rFonts w:eastAsia="仿宋_GB2312"/>
          <w:bCs/>
          <w:sz w:val="32"/>
          <w:szCs w:val="32"/>
        </w:rPr>
        <w:t>氯化钠注射液常见项目：性状、鉴别、</w:t>
      </w:r>
      <w:r w:rsidRPr="000D139A">
        <w:rPr>
          <w:rFonts w:eastAsia="仿宋_GB2312"/>
          <w:bCs/>
          <w:sz w:val="32"/>
          <w:szCs w:val="32"/>
        </w:rPr>
        <w:t>pH</w:t>
      </w:r>
      <w:r w:rsidRPr="000D139A">
        <w:rPr>
          <w:rFonts w:eastAsia="仿宋_GB2312"/>
          <w:bCs/>
          <w:sz w:val="32"/>
          <w:szCs w:val="32"/>
        </w:rPr>
        <w:t>值、重金属、渗透压摩尔浓度、细菌内毒素、无菌、氯化钠含量测定、可见异物、装量、不溶性微粒</w:t>
      </w:r>
      <w:r w:rsidRPr="000D139A">
        <w:rPr>
          <w:rFonts w:eastAsia="仿宋_GB2312"/>
          <w:sz w:val="32"/>
          <w:szCs w:val="32"/>
        </w:rPr>
        <w:t>等</w:t>
      </w:r>
      <w:r w:rsidRPr="000D139A">
        <w:rPr>
          <w:rFonts w:eastAsia="仿宋_GB2312"/>
          <w:bCs/>
          <w:sz w:val="32"/>
          <w:szCs w:val="32"/>
        </w:rPr>
        <w:t>。</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3.2.3</w:t>
      </w:r>
      <w:r w:rsidRPr="000D139A">
        <w:rPr>
          <w:rFonts w:eastAsia="仿宋_GB2312"/>
          <w:bCs/>
          <w:sz w:val="32"/>
          <w:szCs w:val="32"/>
        </w:rPr>
        <w:t>化学性能常见项目：还原物质（易氧化物）、金属离子等。</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3.3</w:t>
      </w:r>
      <w:r w:rsidRPr="000D139A">
        <w:rPr>
          <w:rFonts w:eastAsia="仿宋_GB2312"/>
          <w:bCs/>
          <w:sz w:val="32"/>
          <w:szCs w:val="32"/>
        </w:rPr>
        <w:t>检验方法</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建议将《中国药典》</w:t>
      </w:r>
      <w:r w:rsidRPr="000D139A">
        <w:rPr>
          <w:rFonts w:eastAsia="仿宋_GB2312"/>
          <w:sz w:val="32"/>
          <w:szCs w:val="32"/>
        </w:rPr>
        <w:t>、</w:t>
      </w:r>
      <w:r w:rsidRPr="000D139A">
        <w:rPr>
          <w:rFonts w:eastAsia="仿宋_GB2312"/>
          <w:sz w:val="32"/>
          <w:szCs w:val="32"/>
        </w:rPr>
        <w:t>GB 15810</w:t>
      </w:r>
      <w:r w:rsidRPr="000D139A">
        <w:rPr>
          <w:rFonts w:eastAsia="仿宋_GB2312"/>
          <w:bCs/>
          <w:sz w:val="32"/>
          <w:szCs w:val="32"/>
        </w:rPr>
        <w:t>《一</w:t>
      </w:r>
      <w:r w:rsidRPr="000D139A">
        <w:rPr>
          <w:rFonts w:eastAsia="仿宋_GB2312"/>
          <w:sz w:val="32"/>
          <w:szCs w:val="32"/>
        </w:rPr>
        <w:t>次性使用无菌注射器》适用</w:t>
      </w:r>
      <w:r w:rsidRPr="000D139A">
        <w:rPr>
          <w:rFonts w:eastAsia="仿宋_GB2312"/>
          <w:bCs/>
          <w:sz w:val="32"/>
          <w:szCs w:val="32"/>
        </w:rPr>
        <w:t>的规定内容，作为各条款对应的检测方法。</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3.4</w:t>
      </w:r>
      <w:r w:rsidRPr="000D139A">
        <w:rPr>
          <w:rFonts w:eastAsia="仿宋_GB2312"/>
          <w:sz w:val="32"/>
          <w:szCs w:val="32"/>
        </w:rPr>
        <w:t>术语（如适用）</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sz w:val="32"/>
          <w:szCs w:val="32"/>
        </w:rPr>
        <w:t>3.5</w:t>
      </w:r>
      <w:r w:rsidRPr="000D139A">
        <w:rPr>
          <w:rFonts w:eastAsia="仿宋_GB2312"/>
          <w:bCs/>
          <w:sz w:val="32"/>
          <w:szCs w:val="32"/>
        </w:rPr>
        <w:t>检验报告及典型性样品</w:t>
      </w:r>
    </w:p>
    <w:p w:rsidR="000D139A" w:rsidRPr="000D139A" w:rsidRDefault="000D139A" w:rsidP="000D139A">
      <w:pPr>
        <w:adjustRightInd w:val="0"/>
        <w:snapToGrid w:val="0"/>
        <w:spacing w:line="560" w:lineRule="exact"/>
        <w:ind w:firstLineChars="200" w:firstLine="640"/>
        <w:rPr>
          <w:rFonts w:eastAsia="仿宋_GB2312"/>
          <w:bCs/>
          <w:spacing w:val="6"/>
          <w:sz w:val="32"/>
          <w:szCs w:val="32"/>
        </w:rPr>
      </w:pPr>
      <w:r w:rsidRPr="000D139A">
        <w:rPr>
          <w:rFonts w:eastAsia="仿宋_GB2312"/>
          <w:bCs/>
          <w:sz w:val="32"/>
          <w:szCs w:val="32"/>
        </w:rPr>
        <w:t>提交符合相关要求的产品检验报告。典型性产品是包含全部原材料和组件、结构最复杂、使用性能可以覆盖本注册单元其他型号。</w:t>
      </w:r>
      <w:r w:rsidRPr="000D139A">
        <w:rPr>
          <w:rFonts w:eastAsia="仿宋_GB2312"/>
          <w:bCs/>
          <w:spacing w:val="6"/>
          <w:sz w:val="32"/>
          <w:szCs w:val="32"/>
        </w:rPr>
        <w:t>提供典型性型号说明，解释检测型号的选择理由。</w:t>
      </w:r>
    </w:p>
    <w:p w:rsidR="000D139A" w:rsidRPr="000D139A" w:rsidRDefault="000D139A" w:rsidP="000D139A">
      <w:pPr>
        <w:adjustRightInd w:val="0"/>
        <w:snapToGrid w:val="0"/>
        <w:spacing w:line="560" w:lineRule="exact"/>
        <w:ind w:firstLineChars="200" w:firstLine="664"/>
        <w:rPr>
          <w:rFonts w:eastAsia="仿宋_GB2312"/>
          <w:bCs/>
          <w:spacing w:val="6"/>
          <w:sz w:val="32"/>
          <w:szCs w:val="32"/>
        </w:rPr>
      </w:pPr>
      <w:r w:rsidRPr="000D139A">
        <w:rPr>
          <w:rFonts w:eastAsia="仿宋_GB2312"/>
          <w:bCs/>
          <w:spacing w:val="6"/>
          <w:sz w:val="32"/>
          <w:szCs w:val="32"/>
        </w:rPr>
        <w:lastRenderedPageBreak/>
        <w:t>建议选择单位毫升药液和与液体接触组件的面积和克重最大的型号进行全项目检测，其他型号进行差异化检测。可见异物、不溶性微粒等与装量正相关的项目，选择最大装量进行检测。具有特殊结构、性能的组件应进行检测。</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4.</w:t>
      </w:r>
      <w:r w:rsidRPr="000D139A">
        <w:rPr>
          <w:rFonts w:eastAsia="仿宋_GB2312"/>
          <w:bCs/>
          <w:sz w:val="32"/>
          <w:szCs w:val="32"/>
        </w:rPr>
        <w:t>研究资料</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冲洗器设计开发和生产过程应保证可沥滤物、降解产物、加工残留物等降低到可接受水平，为患者提供最大程度的安全保障。同时考虑医疗器械可用性工程的要求。</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根据申报冲洗器适用范围和技术特征，提供非临床研究综述，逐项描述所开展的研究，概述研究方法和研究结论。各项研究一般包含研究方案、研究报告。研究资料中的项目、方法、来源和验证等，至少包含技术要求相应条款，并可以作为后者的制定依据和理由。研究方法应经过相应验证或具有支持性文献。</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从技术层面论述申报产品设计验证、工艺验证，以及技术特征、生产工艺、灭菌工艺研究等内容。所有研究建议选择典型性型号进行，部分项目研究可选择适当的对照品作为比较，验证方法和结果分析应具有科学性，研究资料应包含各组件适宜的性能。确定研究条件时，建议尽量选择临床最严格使用环境。对产品性能考验最严格的参数，所选择的液体介质应有科学性，并考虑目标物质、临床使用时实际接触液体等性质来确定。</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至少应包含但不限于以下内容：</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4.1</w:t>
      </w:r>
      <w:r w:rsidRPr="000D139A">
        <w:rPr>
          <w:rFonts w:eastAsia="仿宋_GB2312"/>
          <w:bCs/>
          <w:sz w:val="32"/>
          <w:szCs w:val="32"/>
        </w:rPr>
        <w:t>产品性能研究</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应当提供冲洗器化学</w:t>
      </w:r>
      <w:r w:rsidRPr="000D139A">
        <w:rPr>
          <w:rFonts w:eastAsia="仿宋_GB2312"/>
          <w:bCs/>
          <w:sz w:val="32"/>
          <w:szCs w:val="32"/>
        </w:rPr>
        <w:t>/</w:t>
      </w:r>
      <w:r w:rsidRPr="000D139A">
        <w:rPr>
          <w:rFonts w:eastAsia="仿宋_GB2312"/>
          <w:bCs/>
          <w:sz w:val="32"/>
          <w:szCs w:val="32"/>
        </w:rPr>
        <w:t>材料表征、物理和</w:t>
      </w:r>
      <w:r w:rsidRPr="000D139A">
        <w:rPr>
          <w:rFonts w:eastAsia="仿宋_GB2312"/>
          <w:bCs/>
          <w:sz w:val="32"/>
          <w:szCs w:val="32"/>
        </w:rPr>
        <w:t>/</w:t>
      </w:r>
      <w:r w:rsidRPr="000D139A">
        <w:rPr>
          <w:rFonts w:eastAsia="仿宋_GB2312"/>
          <w:bCs/>
          <w:sz w:val="32"/>
          <w:szCs w:val="32"/>
        </w:rPr>
        <w:t>或机械性能指标的</w:t>
      </w:r>
      <w:r w:rsidRPr="000D139A">
        <w:rPr>
          <w:rFonts w:eastAsia="仿宋_GB2312"/>
          <w:bCs/>
          <w:sz w:val="32"/>
          <w:szCs w:val="32"/>
        </w:rPr>
        <w:lastRenderedPageBreak/>
        <w:t>确定依据、所采用的标准或方法、采用的原因等。</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lang w:val="en"/>
        </w:rPr>
        <w:t>4.1.1</w:t>
      </w:r>
      <w:r w:rsidRPr="000D139A">
        <w:rPr>
          <w:rFonts w:eastAsia="仿宋_GB2312"/>
          <w:bCs/>
          <w:sz w:val="32"/>
          <w:szCs w:val="32"/>
        </w:rPr>
        <w:t>设计特征</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应列明冲洗器各部件的名称、材料、结构和功能，提交各部件功能与实现功能的工作原理、途径与技术指标的制定与验证的研究文件，包括各规格型号使用特点、以及适用不同导管类产品的设计验证。列出产品部件所使用全部材料名称。如冲洗器使用性能包含特殊功能，建议提供相应研究资料。</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lang w:val="en"/>
        </w:rPr>
        <w:t>4.1.2</w:t>
      </w:r>
      <w:r w:rsidRPr="000D139A">
        <w:rPr>
          <w:rFonts w:eastAsia="仿宋_GB2312"/>
          <w:bCs/>
          <w:sz w:val="32"/>
          <w:szCs w:val="32"/>
          <w:lang w:val="en"/>
        </w:rPr>
        <w:t>非预充液部分的</w:t>
      </w:r>
      <w:r w:rsidRPr="000D139A">
        <w:rPr>
          <w:rFonts w:eastAsia="仿宋_GB2312"/>
          <w:bCs/>
          <w:sz w:val="32"/>
          <w:szCs w:val="32"/>
        </w:rPr>
        <w:t>特征</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如参考</w:t>
      </w:r>
      <w:r w:rsidRPr="000D139A">
        <w:rPr>
          <w:rFonts w:eastAsia="仿宋_GB2312"/>
          <w:sz w:val="32"/>
          <w:szCs w:val="32"/>
        </w:rPr>
        <w:t>GB 15810</w:t>
      </w:r>
      <w:r w:rsidRPr="000D139A">
        <w:rPr>
          <w:rFonts w:eastAsia="仿宋_GB2312"/>
          <w:bCs/>
          <w:sz w:val="32"/>
          <w:szCs w:val="32"/>
        </w:rPr>
        <w:t>《一</w:t>
      </w:r>
      <w:r w:rsidRPr="000D139A">
        <w:rPr>
          <w:rFonts w:eastAsia="仿宋_GB2312"/>
          <w:sz w:val="32"/>
          <w:szCs w:val="32"/>
        </w:rPr>
        <w:t>次性使用无菌注射器》对</w:t>
      </w:r>
      <w:r w:rsidRPr="000D139A">
        <w:rPr>
          <w:rFonts w:eastAsia="仿宋_GB2312"/>
          <w:bCs/>
          <w:sz w:val="32"/>
          <w:szCs w:val="32"/>
        </w:rPr>
        <w:t>外套、芯杆、活塞、锥头护帽等开展的性能研究。</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sz w:val="32"/>
          <w:szCs w:val="32"/>
        </w:rPr>
        <w:t>4.2</w:t>
      </w:r>
      <w:r w:rsidRPr="000D139A">
        <w:rPr>
          <w:rFonts w:eastAsia="仿宋_GB2312"/>
          <w:bCs/>
          <w:sz w:val="32"/>
          <w:szCs w:val="32"/>
        </w:rPr>
        <w:t>药物相容性研究</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冲洗器外形、预充液体、使用方式等均类似预灌封药物。外套、芯杆、锥头护帽材质通常为聚丙烯，活塞材质常见为溴化或氯化等卤化丁基橡胶活塞。这些与液体接触部件在产品中类似氯化钠注射液的包装，两者长期接触。根据《化学药品注射剂与塑料包装材料相容性研究技术指导原则（试行）》《化学药品与弹性体密封件相容性研究技术指导原则（试行）》规定，要求提供氯化钠注射液和上述与液体接触部件的药物相容性研究文件。</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建议使用全谱扫描方法进行观察，确定与液体接触部件是否有进一步降解物和新的物质产生。经过总结得出与液体接触部件是否适用于预充液，进而保证冲洗器安全性和有效性的结论。通常选择单位毫升药液和与液体接触组件的面积和克重最大的型号，作为药物相容性研究的典型性型号。申请人应对此</w:t>
      </w:r>
      <w:r w:rsidRPr="000D139A">
        <w:rPr>
          <w:rFonts w:eastAsia="仿宋_GB2312"/>
          <w:bCs/>
          <w:sz w:val="32"/>
          <w:szCs w:val="32"/>
        </w:rPr>
        <w:lastRenderedPageBreak/>
        <w:t>作出专门说明，并根据典型性型号的检测结果，推算本注册单元所有型号的安全性。在计算浸出物分析评价阈值（</w:t>
      </w:r>
      <w:r w:rsidRPr="000D139A">
        <w:rPr>
          <w:rFonts w:eastAsia="仿宋_GB2312"/>
          <w:bCs/>
          <w:sz w:val="32"/>
          <w:szCs w:val="32"/>
        </w:rPr>
        <w:t>Analytical Evaluation Threshold</w:t>
      </w:r>
      <w:r w:rsidRPr="000D139A">
        <w:rPr>
          <w:rFonts w:eastAsia="仿宋_GB2312"/>
          <w:bCs/>
          <w:sz w:val="32"/>
          <w:szCs w:val="32"/>
        </w:rPr>
        <w:t>，</w:t>
      </w:r>
      <w:r w:rsidRPr="000D139A">
        <w:rPr>
          <w:rFonts w:eastAsia="仿宋_GB2312"/>
          <w:bCs/>
          <w:sz w:val="32"/>
          <w:szCs w:val="32"/>
        </w:rPr>
        <w:t>AET</w:t>
      </w:r>
      <w:r w:rsidRPr="000D139A">
        <w:rPr>
          <w:rFonts w:eastAsia="仿宋_GB2312"/>
          <w:bCs/>
          <w:sz w:val="32"/>
          <w:szCs w:val="32"/>
        </w:rPr>
        <w:t>）的时候，应考虑临床使用的最大量，每日氯化钠注射液用量宜不低于</w:t>
      </w:r>
      <w:r w:rsidRPr="000D139A">
        <w:rPr>
          <w:rFonts w:eastAsia="仿宋_GB2312"/>
          <w:bCs/>
          <w:sz w:val="32"/>
          <w:szCs w:val="32"/>
        </w:rPr>
        <w:t>20 mL</w:t>
      </w:r>
      <w:r w:rsidRPr="000D139A">
        <w:rPr>
          <w:rFonts w:eastAsia="仿宋_GB2312"/>
          <w:bCs/>
          <w:sz w:val="32"/>
          <w:szCs w:val="32"/>
        </w:rPr>
        <w:t>。</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4.2.1</w:t>
      </w:r>
      <w:r w:rsidRPr="000D139A">
        <w:rPr>
          <w:rFonts w:eastAsia="仿宋_GB2312"/>
          <w:bCs/>
          <w:sz w:val="32"/>
          <w:szCs w:val="32"/>
        </w:rPr>
        <w:t>提取试验</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首先提供与液体接触部件原材料（如聚丙烯、溴化丁基橡胶等）组分信息，采用适宜的溶剂，在较剧烈的条件下，对与液体接触部件材料进行提取试验研究；对可提取物（与液体接触部件材料中溶出的添加物、单体及其降解物等）进行初步的风险评估并明确潜在的目标浸出物，指导后续的浸出物研究（迁移试验）。</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依照与液体接触部件原材料组分信息，进行适宜的与液体接触部件材料样品前处理，至少使用氯化钠注射液作为提取溶剂。确定合适的提取条件（如比灭菌条件更苛刻或选择其他适宜条件，鉴于高温会对提取物产生破坏，建议明确该温度条件选择依据）和分析方法，对挥发性有机物、半挥发有机物、不挥发物、元素分析等开展提取试验研究，对在提取试验研究中获得的高于分析评价阈值（</w:t>
      </w:r>
      <w:r w:rsidRPr="000D139A">
        <w:rPr>
          <w:rFonts w:eastAsia="仿宋_GB2312"/>
          <w:bCs/>
          <w:sz w:val="32"/>
          <w:szCs w:val="32"/>
        </w:rPr>
        <w:t>AET</w:t>
      </w:r>
      <w:r w:rsidRPr="000D139A">
        <w:rPr>
          <w:rFonts w:eastAsia="仿宋_GB2312"/>
          <w:bCs/>
          <w:sz w:val="32"/>
          <w:szCs w:val="32"/>
        </w:rPr>
        <w:t>）水平的可提取物进行鉴别，包括单体、起始物质、残留物、降解物质、添加剂等。从而对可提取物进行初步的风险评估并预测潜在的浸出物。当研究发现产品中可能存在特殊关注物质时（如多环芳烃、亚硝胺等），应开发高灵敏度的专属的并满足更低的检测限和定量限的检测方法对其进行检测及安全性评估。</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lastRenderedPageBreak/>
        <w:t xml:space="preserve">4.2.2 </w:t>
      </w:r>
      <w:r w:rsidRPr="000D139A">
        <w:rPr>
          <w:rFonts w:eastAsia="仿宋_GB2312"/>
          <w:bCs/>
          <w:sz w:val="32"/>
          <w:szCs w:val="32"/>
        </w:rPr>
        <w:t>相互作用研究</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包括迁移试验和吸附试验。通过加速和</w:t>
      </w:r>
      <w:r w:rsidRPr="000D139A">
        <w:rPr>
          <w:rFonts w:eastAsia="仿宋_GB2312"/>
          <w:bCs/>
          <w:sz w:val="32"/>
          <w:szCs w:val="32"/>
        </w:rPr>
        <w:t>/</w:t>
      </w:r>
      <w:r w:rsidRPr="000D139A">
        <w:rPr>
          <w:rFonts w:eastAsia="仿宋_GB2312"/>
          <w:bCs/>
          <w:sz w:val="32"/>
          <w:szCs w:val="32"/>
        </w:rPr>
        <w:t>或长期稳定性试验（注意氯化钠注射液应与包装材料充分接触）增加相应潜在目标浸出物的检测指标，获得氯化钠注射液中含有的浸出物信息，以及与液体接触部件材料对氯化钠注射液的吸附数据。通常以长期稳定性试验观察结果为准。</w:t>
      </w:r>
    </w:p>
    <w:p w:rsidR="000D139A" w:rsidRPr="000D139A" w:rsidRDefault="000D139A" w:rsidP="000D139A">
      <w:pPr>
        <w:adjustRightInd w:val="0"/>
        <w:snapToGrid w:val="0"/>
        <w:spacing w:line="560" w:lineRule="exact"/>
        <w:ind w:firstLineChars="200" w:firstLine="640"/>
        <w:rPr>
          <w:rFonts w:eastAsia="仿宋_GB2312"/>
          <w:b/>
          <w:bCs/>
          <w:strike/>
          <w:color w:val="FF0000"/>
          <w:sz w:val="32"/>
          <w:szCs w:val="32"/>
        </w:rPr>
      </w:pPr>
      <w:r w:rsidRPr="000D139A">
        <w:rPr>
          <w:rFonts w:eastAsia="仿宋_GB2312"/>
          <w:bCs/>
          <w:sz w:val="32"/>
          <w:szCs w:val="32"/>
        </w:rPr>
        <w:t>一般选择按正常条件生产、包装、放置的产品，相互作用研究考察项目可分为物理、化学、生物等几个方面。</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4.2.2.1</w:t>
      </w:r>
      <w:r w:rsidRPr="000D139A">
        <w:rPr>
          <w:rFonts w:eastAsia="仿宋_GB2312"/>
          <w:bCs/>
          <w:sz w:val="32"/>
          <w:szCs w:val="32"/>
        </w:rPr>
        <w:t>迁移试验</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应根据提取试验中获得的可提取物信息设定潜在的目标浸出物，以及在放置过程中与液体接触部件材料成分中的降解物质或其他新生成物质，从而获得与液体接触部件材料（如聚丙烯、溴化丁基橡胶等）在氯化钠注射液中出现的浸出物信息。考察时间点根据上述指导原则和长期稳定性试验进行设置（如</w:t>
      </w:r>
      <w:r w:rsidRPr="000D139A">
        <w:rPr>
          <w:rFonts w:eastAsia="仿宋_GB2312"/>
          <w:bCs/>
          <w:sz w:val="32"/>
          <w:szCs w:val="32"/>
        </w:rPr>
        <w:t>0</w:t>
      </w:r>
      <w:r w:rsidRPr="000D139A">
        <w:rPr>
          <w:rFonts w:eastAsia="仿宋_GB2312"/>
          <w:bCs/>
          <w:sz w:val="32"/>
          <w:szCs w:val="32"/>
        </w:rPr>
        <w:t>、</w:t>
      </w:r>
      <w:r w:rsidRPr="000D139A">
        <w:rPr>
          <w:rFonts w:eastAsia="仿宋_GB2312"/>
          <w:bCs/>
          <w:sz w:val="32"/>
          <w:szCs w:val="32"/>
        </w:rPr>
        <w:t>3</w:t>
      </w:r>
      <w:r w:rsidRPr="000D139A">
        <w:rPr>
          <w:rFonts w:eastAsia="仿宋_GB2312"/>
          <w:bCs/>
          <w:sz w:val="32"/>
          <w:szCs w:val="32"/>
        </w:rPr>
        <w:t>、</w:t>
      </w:r>
      <w:r w:rsidRPr="000D139A">
        <w:rPr>
          <w:rFonts w:eastAsia="仿宋_GB2312"/>
          <w:bCs/>
          <w:sz w:val="32"/>
          <w:szCs w:val="32"/>
        </w:rPr>
        <w:t>6</w:t>
      </w:r>
      <w:r w:rsidRPr="000D139A">
        <w:rPr>
          <w:rFonts w:eastAsia="仿宋_GB2312"/>
          <w:bCs/>
          <w:sz w:val="32"/>
          <w:szCs w:val="32"/>
        </w:rPr>
        <w:t>、</w:t>
      </w:r>
      <w:r w:rsidRPr="000D139A">
        <w:rPr>
          <w:rFonts w:eastAsia="仿宋_GB2312"/>
          <w:bCs/>
          <w:sz w:val="32"/>
          <w:szCs w:val="32"/>
        </w:rPr>
        <w:t>9</w:t>
      </w:r>
      <w:r w:rsidRPr="000D139A">
        <w:rPr>
          <w:rFonts w:eastAsia="仿宋_GB2312"/>
          <w:bCs/>
          <w:sz w:val="32"/>
          <w:szCs w:val="32"/>
        </w:rPr>
        <w:t>、</w:t>
      </w:r>
      <w:r w:rsidRPr="000D139A">
        <w:rPr>
          <w:rFonts w:eastAsia="仿宋_GB2312"/>
          <w:bCs/>
          <w:sz w:val="32"/>
          <w:szCs w:val="32"/>
        </w:rPr>
        <w:t>12</w:t>
      </w:r>
      <w:r w:rsidRPr="000D139A">
        <w:rPr>
          <w:rFonts w:eastAsia="仿宋_GB2312"/>
          <w:bCs/>
          <w:sz w:val="32"/>
          <w:szCs w:val="32"/>
        </w:rPr>
        <w:t>月等），至少应包括起点和终点，中间点可适当调整。提供与液体接触部件材料在上述考察时间点的浸出试验结果分析与安全性评价文件。在迁移试验中应对高于分析评价阈值（</w:t>
      </w:r>
      <w:r w:rsidRPr="000D139A">
        <w:rPr>
          <w:rFonts w:eastAsia="仿宋_GB2312"/>
          <w:bCs/>
          <w:sz w:val="32"/>
          <w:szCs w:val="32"/>
        </w:rPr>
        <w:t>AET</w:t>
      </w:r>
      <w:r w:rsidRPr="000D139A">
        <w:rPr>
          <w:rFonts w:eastAsia="仿宋_GB2312"/>
          <w:bCs/>
          <w:sz w:val="32"/>
          <w:szCs w:val="32"/>
        </w:rPr>
        <w:t>）水平的相关浸出物进行鉴别、定量，并评估浸出物的安全性。</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 xml:space="preserve">4.2.2.2 </w:t>
      </w:r>
      <w:r w:rsidRPr="000D139A">
        <w:rPr>
          <w:rFonts w:eastAsia="仿宋_GB2312"/>
          <w:bCs/>
          <w:sz w:val="32"/>
          <w:szCs w:val="32"/>
        </w:rPr>
        <w:t>吸附试验</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通常可选择留样试验的考察时间点（如</w:t>
      </w:r>
      <w:r w:rsidRPr="000D139A">
        <w:rPr>
          <w:rFonts w:eastAsia="仿宋_GB2312"/>
          <w:bCs/>
          <w:sz w:val="32"/>
          <w:szCs w:val="32"/>
        </w:rPr>
        <w:t>0</w:t>
      </w:r>
      <w:r w:rsidRPr="000D139A">
        <w:rPr>
          <w:rFonts w:eastAsia="仿宋_GB2312"/>
          <w:bCs/>
          <w:sz w:val="32"/>
          <w:szCs w:val="32"/>
        </w:rPr>
        <w:t>、</w:t>
      </w:r>
      <w:r w:rsidRPr="000D139A">
        <w:rPr>
          <w:rFonts w:eastAsia="仿宋_GB2312"/>
          <w:bCs/>
          <w:sz w:val="32"/>
          <w:szCs w:val="32"/>
        </w:rPr>
        <w:t>3</w:t>
      </w:r>
      <w:r w:rsidRPr="000D139A">
        <w:rPr>
          <w:rFonts w:eastAsia="仿宋_GB2312"/>
          <w:bCs/>
          <w:sz w:val="32"/>
          <w:szCs w:val="32"/>
        </w:rPr>
        <w:t>、</w:t>
      </w:r>
      <w:r w:rsidRPr="000D139A">
        <w:rPr>
          <w:rFonts w:eastAsia="仿宋_GB2312"/>
          <w:bCs/>
          <w:sz w:val="32"/>
          <w:szCs w:val="32"/>
        </w:rPr>
        <w:t>6</w:t>
      </w:r>
      <w:r w:rsidRPr="000D139A">
        <w:rPr>
          <w:rFonts w:eastAsia="仿宋_GB2312"/>
          <w:bCs/>
          <w:sz w:val="32"/>
          <w:szCs w:val="32"/>
        </w:rPr>
        <w:t>、</w:t>
      </w:r>
      <w:r w:rsidRPr="000D139A">
        <w:rPr>
          <w:rFonts w:eastAsia="仿宋_GB2312"/>
          <w:bCs/>
          <w:sz w:val="32"/>
          <w:szCs w:val="32"/>
        </w:rPr>
        <w:t>9</w:t>
      </w:r>
      <w:r w:rsidRPr="000D139A">
        <w:rPr>
          <w:rFonts w:eastAsia="仿宋_GB2312"/>
          <w:bCs/>
          <w:sz w:val="32"/>
          <w:szCs w:val="32"/>
        </w:rPr>
        <w:t>、</w:t>
      </w:r>
      <w:r w:rsidRPr="000D139A">
        <w:rPr>
          <w:rFonts w:eastAsia="仿宋_GB2312"/>
          <w:bCs/>
          <w:sz w:val="32"/>
          <w:szCs w:val="32"/>
        </w:rPr>
        <w:t>12</w:t>
      </w:r>
      <w:r w:rsidRPr="000D139A">
        <w:rPr>
          <w:rFonts w:eastAsia="仿宋_GB2312"/>
          <w:bCs/>
          <w:sz w:val="32"/>
          <w:szCs w:val="32"/>
        </w:rPr>
        <w:t>月等），按照中国药典氯化钠注射液项目进行检验，观察与液体接触部件对氯化钠注射液的吸附。</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lastRenderedPageBreak/>
        <w:t xml:space="preserve">4.2.3 </w:t>
      </w:r>
      <w:r w:rsidRPr="000D139A">
        <w:rPr>
          <w:rFonts w:eastAsia="仿宋_GB2312"/>
          <w:bCs/>
          <w:sz w:val="32"/>
          <w:szCs w:val="32"/>
        </w:rPr>
        <w:t>安全性研究</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根据提取试验获得的可提取物信息及迁移试验获得的浸出物信息，进行安全性研究。可以通过文献及毒性数据库查询相关的毒性资料，换算成人每日允许最大暴露量（</w:t>
      </w:r>
      <w:r w:rsidRPr="000D139A">
        <w:rPr>
          <w:rFonts w:eastAsia="仿宋_GB2312"/>
          <w:bCs/>
          <w:sz w:val="32"/>
          <w:szCs w:val="32"/>
        </w:rPr>
        <w:t>Permitted Daily Exposure</w:t>
      </w:r>
      <w:r w:rsidRPr="000D139A">
        <w:rPr>
          <w:rFonts w:eastAsia="仿宋_GB2312"/>
          <w:bCs/>
          <w:sz w:val="32"/>
          <w:szCs w:val="32"/>
        </w:rPr>
        <w:t>，</w:t>
      </w:r>
      <w:r w:rsidRPr="000D139A">
        <w:rPr>
          <w:rFonts w:eastAsia="仿宋_GB2312"/>
          <w:bCs/>
          <w:sz w:val="32"/>
          <w:szCs w:val="32"/>
        </w:rPr>
        <w:t>PDE</w:t>
      </w:r>
      <w:r w:rsidRPr="000D139A">
        <w:rPr>
          <w:rFonts w:eastAsia="仿宋_GB2312"/>
          <w:bCs/>
          <w:sz w:val="32"/>
          <w:szCs w:val="32"/>
        </w:rPr>
        <w:t>），或参考</w:t>
      </w:r>
      <w:r w:rsidRPr="000D139A">
        <w:rPr>
          <w:rFonts w:eastAsia="仿宋_GB2312"/>
          <w:bCs/>
          <w:sz w:val="32"/>
          <w:szCs w:val="32"/>
        </w:rPr>
        <w:t>GB/T 16886.17</w:t>
      </w:r>
      <w:r w:rsidRPr="000D139A">
        <w:rPr>
          <w:rFonts w:eastAsia="仿宋_GB2312"/>
          <w:bCs/>
          <w:sz w:val="32"/>
          <w:szCs w:val="32"/>
        </w:rPr>
        <w:t>文件推导合理的</w:t>
      </w:r>
      <w:r w:rsidRPr="000D139A">
        <w:rPr>
          <w:rFonts w:eastAsia="仿宋_GB2312"/>
          <w:bCs/>
          <w:sz w:val="32"/>
          <w:szCs w:val="32"/>
        </w:rPr>
        <w:t>TI</w:t>
      </w:r>
      <w:r w:rsidRPr="000D139A">
        <w:rPr>
          <w:rFonts w:eastAsia="仿宋_GB2312"/>
          <w:bCs/>
          <w:sz w:val="32"/>
          <w:szCs w:val="32"/>
        </w:rPr>
        <w:t>值。如果文献及毒性数据库无相关浸出物的毒性资料，也未采用相应的浸出物进行安全性研究，则可依据安全性阈值（</w:t>
      </w:r>
      <w:r w:rsidRPr="000D139A">
        <w:rPr>
          <w:rFonts w:eastAsia="仿宋_GB2312"/>
          <w:bCs/>
          <w:sz w:val="32"/>
          <w:szCs w:val="32"/>
        </w:rPr>
        <w:t>Safety Concern Threshold</w:t>
      </w:r>
      <w:r w:rsidRPr="000D139A">
        <w:rPr>
          <w:rFonts w:eastAsia="仿宋_GB2312"/>
          <w:bCs/>
          <w:sz w:val="32"/>
          <w:szCs w:val="32"/>
        </w:rPr>
        <w:t>，</w:t>
      </w:r>
      <w:r w:rsidRPr="000D139A">
        <w:rPr>
          <w:rFonts w:eastAsia="仿宋_GB2312"/>
          <w:bCs/>
          <w:sz w:val="32"/>
          <w:szCs w:val="32"/>
        </w:rPr>
        <w:t>SCT</w:t>
      </w:r>
      <w:r w:rsidRPr="000D139A">
        <w:rPr>
          <w:rFonts w:eastAsia="仿宋_GB2312"/>
          <w:bCs/>
          <w:sz w:val="32"/>
          <w:szCs w:val="32"/>
        </w:rPr>
        <w:t>），评估浸出物是否存在安全性风险。</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5.</w:t>
      </w:r>
      <w:r w:rsidRPr="000D139A">
        <w:rPr>
          <w:rFonts w:eastAsia="仿宋_GB2312"/>
          <w:bCs/>
          <w:sz w:val="32"/>
          <w:szCs w:val="32"/>
        </w:rPr>
        <w:t>生物学风险评定及原材料控制</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建议参考</w:t>
      </w:r>
      <w:r w:rsidRPr="000D139A">
        <w:rPr>
          <w:rFonts w:eastAsia="仿宋_GB2312"/>
          <w:bCs/>
          <w:sz w:val="32"/>
          <w:szCs w:val="32"/>
        </w:rPr>
        <w:t>GB/T 16886.1</w:t>
      </w:r>
      <w:r w:rsidRPr="000D139A">
        <w:rPr>
          <w:rFonts w:eastAsia="仿宋_GB2312"/>
          <w:bCs/>
          <w:sz w:val="32"/>
          <w:szCs w:val="32"/>
        </w:rPr>
        <w:t>《医疗器械生物学评价</w:t>
      </w:r>
      <w:r w:rsidRPr="000D139A">
        <w:rPr>
          <w:rFonts w:eastAsia="仿宋_GB2312"/>
          <w:bCs/>
          <w:sz w:val="32"/>
          <w:szCs w:val="32"/>
        </w:rPr>
        <w:t xml:space="preserve"> </w:t>
      </w:r>
      <w:r w:rsidRPr="000D139A">
        <w:rPr>
          <w:rFonts w:eastAsia="仿宋_GB2312"/>
          <w:bCs/>
          <w:sz w:val="32"/>
          <w:szCs w:val="32"/>
        </w:rPr>
        <w:t>第</w:t>
      </w:r>
      <w:r w:rsidRPr="000D139A">
        <w:rPr>
          <w:rFonts w:eastAsia="仿宋_GB2312"/>
          <w:bCs/>
          <w:sz w:val="32"/>
          <w:szCs w:val="32"/>
        </w:rPr>
        <w:t>1</w:t>
      </w:r>
      <w:r w:rsidRPr="000D139A">
        <w:rPr>
          <w:rFonts w:eastAsia="仿宋_GB2312"/>
          <w:bCs/>
          <w:sz w:val="32"/>
          <w:szCs w:val="32"/>
        </w:rPr>
        <w:t>部分：风险管理过程中的评价与试验》标准要求，对包含全部原材料的典型性型号开展生物学风险评定。评价终点常见细胞毒性、致敏反应、刺激或皮内反应、材料介导的致热性、急性全身毒性、血液相容性。生物学风险评定资料还应当包括：生物学风险评定的策略、依据和方法，以及完成生物学风险评定所需的其他数据。</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sz w:val="32"/>
        </w:rPr>
        <w:t>冲洗器中预充的氯化钠注射液应取得原产国的药品批准证明文件，并符合《中华人民共和国药典》关于氯化钠注射液的检验要求。</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冲洗器组件原材料不得人为添加已列入相关法规及指令禁止的、或未经毒理学评估的物质，常规使用过程中不得对人体产生有害影响。提交冲洗器所有组件全部组成材料的化学名称、符合的标准等基本信息。一般包括：每个材料的通用名称和</w:t>
      </w:r>
      <w:r w:rsidRPr="000D139A">
        <w:rPr>
          <w:rFonts w:eastAsia="仿宋_GB2312"/>
          <w:bCs/>
          <w:sz w:val="32"/>
          <w:szCs w:val="32"/>
        </w:rPr>
        <w:t>/</w:t>
      </w:r>
      <w:r w:rsidRPr="000D139A">
        <w:rPr>
          <w:rFonts w:eastAsia="仿宋_GB2312"/>
          <w:bCs/>
          <w:sz w:val="32"/>
          <w:szCs w:val="32"/>
        </w:rPr>
        <w:t>或</w:t>
      </w:r>
      <w:r w:rsidRPr="000D139A">
        <w:rPr>
          <w:rFonts w:eastAsia="仿宋_GB2312"/>
          <w:bCs/>
          <w:sz w:val="32"/>
          <w:szCs w:val="32"/>
        </w:rPr>
        <w:lastRenderedPageBreak/>
        <w:t>准确的化学名称、选用材料（包括添加剂等）商品名或牌号。建议提供与预充液接触的各组件或原材料安全性评价资料。提交生产企业原材料验收标准和报告。</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sz w:val="32"/>
          <w:szCs w:val="32"/>
        </w:rPr>
        <w:t>聚丙烯原材料建议提供符合聚丙烯输液瓶药品包材标准</w:t>
      </w:r>
      <w:r w:rsidRPr="000D139A">
        <w:rPr>
          <w:rFonts w:eastAsia="仿宋_GB2312"/>
          <w:sz w:val="32"/>
          <w:szCs w:val="32"/>
        </w:rPr>
        <w:t>YBB00022002</w:t>
      </w:r>
      <w:r w:rsidRPr="000D139A">
        <w:rPr>
          <w:rFonts w:eastAsia="仿宋_GB2312"/>
          <w:sz w:val="32"/>
          <w:szCs w:val="32"/>
        </w:rPr>
        <w:t>中适宜项目、</w:t>
      </w:r>
      <w:r w:rsidRPr="000D139A">
        <w:rPr>
          <w:rFonts w:eastAsia="仿宋_GB2312"/>
          <w:sz w:val="32"/>
          <w:szCs w:val="32"/>
        </w:rPr>
        <w:t>YY/T 0242</w:t>
      </w:r>
      <w:r w:rsidRPr="000D139A">
        <w:rPr>
          <w:rFonts w:eastAsia="仿宋_GB2312"/>
          <w:sz w:val="32"/>
          <w:szCs w:val="32"/>
        </w:rPr>
        <w:t>规定项目的检测报告。活塞建议提供符合预灌封注射器用溴化丁基橡胶活塞标准</w:t>
      </w:r>
      <w:r w:rsidRPr="000D139A">
        <w:rPr>
          <w:rFonts w:eastAsia="仿宋_GB2312"/>
          <w:sz w:val="32"/>
          <w:szCs w:val="32"/>
        </w:rPr>
        <w:t>YBB 00082004</w:t>
      </w:r>
      <w:r w:rsidRPr="000D139A">
        <w:rPr>
          <w:rFonts w:eastAsia="仿宋_GB2312"/>
          <w:sz w:val="32"/>
          <w:szCs w:val="32"/>
        </w:rPr>
        <w:t>或预灌封注射器用氯化丁基橡胶活塞标准</w:t>
      </w:r>
      <w:r w:rsidRPr="000D139A">
        <w:rPr>
          <w:rFonts w:eastAsia="仿宋_GB2312"/>
          <w:sz w:val="32"/>
          <w:szCs w:val="32"/>
        </w:rPr>
        <w:t>YBB 00072004</w:t>
      </w:r>
      <w:r w:rsidRPr="000D139A">
        <w:rPr>
          <w:rFonts w:eastAsia="仿宋_GB2312"/>
          <w:sz w:val="32"/>
          <w:szCs w:val="32"/>
        </w:rPr>
        <w:t>、注射液用卤化丁基橡胶活塞标准</w:t>
      </w:r>
      <w:r w:rsidRPr="000D139A">
        <w:rPr>
          <w:rFonts w:eastAsia="仿宋_GB2312"/>
          <w:sz w:val="32"/>
          <w:szCs w:val="32"/>
        </w:rPr>
        <w:t>YBB 00042005</w:t>
      </w:r>
      <w:r w:rsidRPr="000D139A">
        <w:rPr>
          <w:rFonts w:eastAsia="仿宋_GB2312"/>
          <w:sz w:val="32"/>
          <w:szCs w:val="32"/>
        </w:rPr>
        <w:t>全部项目的检测报告。如申报产品聚丙烯原材料、活塞取得相应药包材证明文件，建议提供。</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6.</w:t>
      </w:r>
      <w:r w:rsidRPr="000D139A">
        <w:rPr>
          <w:rFonts w:eastAsia="仿宋_GB2312"/>
          <w:bCs/>
          <w:sz w:val="32"/>
          <w:szCs w:val="32"/>
        </w:rPr>
        <w:t>生物源性材料的安全性研究（如适用）</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如冲洗器含有动物源性材料或生物活性物质等成分，建议参考《动物源性医疗器械产品注册申报资料指导原则》等文件要求，提供相关材料的生物安全性研究资料。</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7.</w:t>
      </w:r>
      <w:r w:rsidRPr="000D139A">
        <w:rPr>
          <w:rFonts w:eastAsia="仿宋_GB2312"/>
          <w:bCs/>
          <w:sz w:val="32"/>
          <w:szCs w:val="32"/>
        </w:rPr>
        <w:t>灭菌研究</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明确冲洗器所用灭菌方法的选择理由，描述灭菌工艺和无菌保证水平，并提供灭菌确认报告。灭菌过程还应开展以下方面的确认：产品与灭菌方法的适应性、包装与灭菌工艺适应性、灭菌有效期验证资料、毒性物质残留量研究资料（如适用）。采用射线灭菌的，应注明其具体方式。</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8</w:t>
      </w:r>
      <w:r w:rsidRPr="000D139A">
        <w:rPr>
          <w:rFonts w:eastAsia="仿宋_GB2312"/>
          <w:bCs/>
          <w:sz w:val="32"/>
          <w:szCs w:val="32"/>
        </w:rPr>
        <w:t>.</w:t>
      </w:r>
      <w:r w:rsidRPr="000D139A">
        <w:rPr>
          <w:rFonts w:eastAsia="仿宋_GB2312"/>
          <w:sz w:val="32"/>
          <w:szCs w:val="32"/>
        </w:rPr>
        <w:t>产品货架有效期和包装研究</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8.1</w:t>
      </w:r>
      <w:r w:rsidRPr="000D139A">
        <w:rPr>
          <w:rFonts w:eastAsia="仿宋_GB2312"/>
          <w:bCs/>
          <w:color w:val="000000"/>
          <w:sz w:val="32"/>
          <w:szCs w:val="32"/>
        </w:rPr>
        <w:t>货架有效期</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应当提供货架有效期和包装研究资料，证明在货架有效期</w:t>
      </w:r>
      <w:r w:rsidRPr="000D139A">
        <w:rPr>
          <w:rFonts w:eastAsia="仿宋_GB2312"/>
          <w:bCs/>
          <w:sz w:val="32"/>
          <w:szCs w:val="32"/>
        </w:rPr>
        <w:lastRenderedPageBreak/>
        <w:t>内，在规定的运输贮存条件下，产品可保持性能功能满足使用要求。</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sz w:val="32"/>
          <w:szCs w:val="32"/>
        </w:rPr>
        <w:t>冲洗器有效期应结合长期实时老化有效期验证、药物相容性研究和无菌屏障研究结果来共同确认。长期实时老化验证报告中，按照中国药典对药物制剂稳定性试验和氯化钠注射液的规定，考虑包括容器性质（如是否为半渗透性）等，选择适宜的温湿度等放置条件，补充所有型号规格产品各时间点检测报告。冲洗器如果采用半渗透性容器，则应评估其潜在的失水性。将冲洗器样品放置在《化学药物（原料药和制剂）稳定性研究技术指导原则（修订）》所列的低相对湿度条件下，然后检测失水情况。</w:t>
      </w:r>
      <w:r w:rsidRPr="000D139A">
        <w:rPr>
          <w:rFonts w:eastAsia="仿宋_GB2312"/>
          <w:bCs/>
          <w:sz w:val="32"/>
          <w:szCs w:val="32"/>
        </w:rPr>
        <w:t>有效期验证项目还包括包装完整性。</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8.2</w:t>
      </w:r>
      <w:r w:rsidRPr="000D139A">
        <w:rPr>
          <w:rFonts w:eastAsia="仿宋_GB2312"/>
          <w:sz w:val="32"/>
          <w:szCs w:val="32"/>
        </w:rPr>
        <w:t>包装及包装完整性</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提交包装验证报告，常见项目如：包装材料的物理化学特性；包装材料与产品的适应性；包装材料与成型和密封过程的适应性；包装材料所能提供的物理、化学和细菌屏障保护；包装材料与使用者使用时的要求（如无菌开启）的适应性；包装材料与标签系统的适应性。</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color w:val="000000"/>
          <w:sz w:val="32"/>
          <w:szCs w:val="32"/>
        </w:rPr>
        <w:t>包装运输稳定性通常通过模拟运输过程中环境（温度、湿度、气压等）变化、跌落、碰撞、振动等，证明在生产企业规定的运输条件下，不会对产品自身性能、无菌屏障系统性能和运输包装造成不利影响。</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8.2.1</w:t>
      </w:r>
      <w:r w:rsidRPr="000D139A">
        <w:rPr>
          <w:rFonts w:eastAsia="仿宋_GB2312"/>
          <w:sz w:val="32"/>
          <w:szCs w:val="32"/>
        </w:rPr>
        <w:t>冲洗器初包装作为无菌屏障系统</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如冲洗器和单包装一起灭菌，且将单包装作为无菌屏障的，</w:t>
      </w:r>
      <w:r w:rsidRPr="000D139A">
        <w:rPr>
          <w:rFonts w:eastAsia="仿宋_GB2312"/>
          <w:sz w:val="32"/>
          <w:szCs w:val="32"/>
        </w:rPr>
        <w:lastRenderedPageBreak/>
        <w:t>要求提供验证文件的项目包括单包装的物理和化学特性、微生物屏障功能、老化验证等。可以参考我国</w:t>
      </w:r>
      <w:r w:rsidRPr="000D139A">
        <w:rPr>
          <w:rFonts w:eastAsia="仿宋_GB2312"/>
          <w:sz w:val="32"/>
          <w:szCs w:val="32"/>
        </w:rPr>
        <w:t>GB/T 19633.1</w:t>
      </w:r>
      <w:r w:rsidRPr="000D139A">
        <w:rPr>
          <w:rFonts w:eastAsia="仿宋_GB2312"/>
          <w:sz w:val="32"/>
          <w:szCs w:val="32"/>
        </w:rPr>
        <w:t>、</w:t>
      </w:r>
      <w:r w:rsidRPr="000D139A">
        <w:rPr>
          <w:rFonts w:eastAsia="仿宋_GB2312"/>
          <w:sz w:val="32"/>
          <w:szCs w:val="32"/>
        </w:rPr>
        <w:t>YY/T 0681</w:t>
      </w:r>
      <w:r w:rsidRPr="000D139A">
        <w:rPr>
          <w:rFonts w:eastAsia="仿宋_GB2312"/>
          <w:sz w:val="32"/>
          <w:szCs w:val="32"/>
        </w:rPr>
        <w:t>等适用文件完成，作为无菌屏障验证内容</w:t>
      </w:r>
      <w:r w:rsidRPr="000D139A">
        <w:rPr>
          <w:rFonts w:eastAsia="仿宋_GB2312"/>
          <w:b/>
          <w:sz w:val="32"/>
          <w:szCs w:val="32"/>
        </w:rPr>
        <w:t>。</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8.2.2</w:t>
      </w:r>
      <w:r w:rsidRPr="000D139A">
        <w:rPr>
          <w:rFonts w:eastAsia="仿宋_GB2312"/>
          <w:sz w:val="32"/>
          <w:szCs w:val="32"/>
        </w:rPr>
        <w:t>冲洗器本身作为无菌屏障系统</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通常依靠护帽、活塞、外套来保证无菌状态，对此应提供无菌屏障研究文件。建议至少选择新生产的产品、到达长期实时老化有效期产品，参考《化学药品注射剂包装系统密封性研究技术指南（试行）》规定，考虑检查方法的灵敏度和适用性等，基于风险评估，选择适宜的密封性检查方法，分别进行密封性验证试验。</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9.</w:t>
      </w:r>
      <w:r w:rsidRPr="000D139A">
        <w:rPr>
          <w:rFonts w:eastAsia="仿宋_GB2312"/>
          <w:bCs/>
          <w:sz w:val="32"/>
          <w:szCs w:val="32"/>
        </w:rPr>
        <w:t>参考《医疗器械可用性工程注册审查指导原则》的要求，提供使用错误评价报告。</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10.</w:t>
      </w:r>
      <w:r w:rsidRPr="000D139A">
        <w:rPr>
          <w:rFonts w:eastAsia="仿宋_GB2312"/>
          <w:bCs/>
          <w:sz w:val="32"/>
          <w:szCs w:val="32"/>
        </w:rPr>
        <w:t>其他资料</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冲洗器属于《免于临床评价医疗器械目录》收录产品，应按照《列入免于临床评价医疗器械目录产品对比说明技术指导原则》等文件规定格式和内容，提供相应评价资料。</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结合申报产品的特点，提交证明产品安全性、有效性的其他研究资料。</w:t>
      </w:r>
    </w:p>
    <w:p w:rsidR="000D139A" w:rsidRPr="000D139A" w:rsidRDefault="000D139A" w:rsidP="000D139A">
      <w:pPr>
        <w:adjustRightInd w:val="0"/>
        <w:snapToGrid w:val="0"/>
        <w:spacing w:line="560" w:lineRule="exact"/>
        <w:ind w:firstLineChars="200" w:firstLine="640"/>
        <w:rPr>
          <w:rFonts w:ascii="楷体_GB2312" w:eastAsia="楷体_GB2312"/>
          <w:bCs/>
          <w:sz w:val="32"/>
          <w:szCs w:val="32"/>
        </w:rPr>
      </w:pPr>
      <w:r w:rsidRPr="000D139A">
        <w:rPr>
          <w:rFonts w:ascii="楷体_GB2312" w:eastAsia="楷体_GB2312" w:hint="eastAsia"/>
          <w:bCs/>
          <w:sz w:val="32"/>
          <w:szCs w:val="32"/>
        </w:rPr>
        <w:t>（四）临床评价资料</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sz w:val="32"/>
          <w:szCs w:val="32"/>
        </w:rPr>
        <w:t>若其他资料无法证明申报产品与</w:t>
      </w:r>
      <w:r w:rsidRPr="000D139A">
        <w:rPr>
          <w:rFonts w:eastAsia="仿宋_GB2312"/>
          <w:bCs/>
          <w:sz w:val="32"/>
          <w:szCs w:val="32"/>
        </w:rPr>
        <w:t>《免于临床评价医疗器械目录》</w:t>
      </w:r>
      <w:r w:rsidRPr="000D139A">
        <w:rPr>
          <w:rFonts w:eastAsia="仿宋_GB2312"/>
          <w:sz w:val="32"/>
          <w:szCs w:val="32"/>
        </w:rPr>
        <w:t>所述的产品具有基本等同性，则申报的冲洗器无法免于临床评价。应按照《医疗器械临床评价技术指导原则》的规定，选择适宜路径提供临床评价文件。</w:t>
      </w:r>
    </w:p>
    <w:p w:rsidR="000D139A" w:rsidRPr="000D139A" w:rsidRDefault="000D139A" w:rsidP="000D139A">
      <w:pPr>
        <w:adjustRightInd w:val="0"/>
        <w:snapToGrid w:val="0"/>
        <w:spacing w:line="560" w:lineRule="exact"/>
        <w:ind w:firstLineChars="200" w:firstLine="640"/>
        <w:rPr>
          <w:rFonts w:ascii="楷体_GB2312" w:eastAsia="楷体_GB2312"/>
          <w:bCs/>
          <w:sz w:val="32"/>
          <w:szCs w:val="32"/>
        </w:rPr>
      </w:pPr>
      <w:r w:rsidRPr="000D139A">
        <w:rPr>
          <w:rFonts w:ascii="楷体_GB2312" w:eastAsia="楷体_GB2312" w:hint="eastAsia"/>
          <w:bCs/>
          <w:sz w:val="32"/>
          <w:szCs w:val="32"/>
        </w:rPr>
        <w:lastRenderedPageBreak/>
        <w:t>（五）产品说明书和标签样稿</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bCs/>
          <w:sz w:val="32"/>
          <w:szCs w:val="32"/>
        </w:rPr>
        <w:t>冲洗器产品说明书、标签和包装标识应符合《医疗器械说明书和标签管理规定》等适用文件的要求。说明书注明适用范围，说明书中信息应包含适用范围、禁忌证（如适用）、使用方法、注意事项、性能参数、有效期等。</w:t>
      </w:r>
      <w:r w:rsidRPr="000D139A">
        <w:rPr>
          <w:rFonts w:eastAsia="仿宋_GB2312"/>
          <w:kern w:val="0"/>
          <w:sz w:val="32"/>
          <w:szCs w:val="32"/>
        </w:rPr>
        <w:t>注意事项中补充</w:t>
      </w:r>
      <w:r w:rsidRPr="000D139A">
        <w:rPr>
          <w:rFonts w:eastAsia="仿宋_GB2312"/>
          <w:kern w:val="0"/>
          <w:sz w:val="32"/>
          <w:szCs w:val="32"/>
        </w:rPr>
        <w:t>“</w:t>
      </w:r>
      <w:r w:rsidRPr="000D139A">
        <w:rPr>
          <w:rFonts w:eastAsia="仿宋_GB2312"/>
          <w:kern w:val="0"/>
          <w:sz w:val="32"/>
          <w:szCs w:val="32"/>
        </w:rPr>
        <w:t>该产品的使用需符合静脉治疗护理技术操作规范</w:t>
      </w:r>
      <w:r w:rsidRPr="000D139A">
        <w:rPr>
          <w:rFonts w:eastAsia="仿宋_GB2312"/>
          <w:bCs/>
          <w:sz w:val="32"/>
          <w:szCs w:val="32"/>
        </w:rPr>
        <w:t>，仅限于经培训的医务人员使用</w:t>
      </w:r>
      <w:r w:rsidRPr="000D139A">
        <w:rPr>
          <w:rFonts w:eastAsia="仿宋_GB2312"/>
          <w:bCs/>
          <w:sz w:val="32"/>
          <w:szCs w:val="32"/>
        </w:rPr>
        <w:t>”</w:t>
      </w:r>
      <w:r w:rsidRPr="000D139A">
        <w:rPr>
          <w:rFonts w:eastAsia="仿宋_GB2312"/>
          <w:bCs/>
          <w:sz w:val="32"/>
          <w:szCs w:val="32"/>
        </w:rPr>
        <w:t>。对冲洗器本身作为无菌屏障的，应注明</w:t>
      </w:r>
      <w:r w:rsidRPr="000D139A">
        <w:rPr>
          <w:rFonts w:eastAsia="仿宋_GB2312"/>
          <w:bCs/>
          <w:sz w:val="32"/>
          <w:szCs w:val="32"/>
        </w:rPr>
        <w:t>“</w:t>
      </w:r>
      <w:r w:rsidRPr="000D139A">
        <w:rPr>
          <w:rFonts w:eastAsia="仿宋_GB2312"/>
          <w:bCs/>
          <w:sz w:val="32"/>
          <w:szCs w:val="32"/>
        </w:rPr>
        <w:t>不得在无菌界面打开产品包装、使用前检查产品组件是否有松动脱落、注意无菌操作、打开包装后立即使用</w:t>
      </w:r>
      <w:r w:rsidRPr="000D139A">
        <w:rPr>
          <w:rFonts w:eastAsia="仿宋_GB2312"/>
          <w:bCs/>
          <w:sz w:val="32"/>
          <w:szCs w:val="32"/>
        </w:rPr>
        <w:t>”</w:t>
      </w:r>
      <w:r w:rsidRPr="000D139A">
        <w:rPr>
          <w:rFonts w:eastAsia="仿宋_GB2312"/>
          <w:bCs/>
          <w:sz w:val="32"/>
          <w:szCs w:val="32"/>
        </w:rPr>
        <w:t>等。建议列明各规格型号适用的导管类产品，</w:t>
      </w:r>
      <w:r w:rsidRPr="000D139A">
        <w:rPr>
          <w:rFonts w:eastAsia="仿宋_GB2312"/>
          <w:kern w:val="0"/>
          <w:sz w:val="32"/>
          <w:szCs w:val="32"/>
        </w:rPr>
        <w:t>若预期用于冲洗中心静脉导管或经外周中</w:t>
      </w:r>
      <w:r w:rsidRPr="000D139A">
        <w:rPr>
          <w:rFonts w:eastAsia="仿宋_GB2312"/>
          <w:bCs/>
          <w:sz w:val="32"/>
          <w:szCs w:val="32"/>
        </w:rPr>
        <w:t>心静脉导管或其他血管内导管，需在说明书中给出其与预期冲洗导管的兼容性的说明或警示。</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bCs/>
          <w:sz w:val="32"/>
          <w:szCs w:val="32"/>
        </w:rPr>
        <w:t>所有信息应与临床评价文件结论、国家出</w:t>
      </w:r>
      <w:r w:rsidRPr="000D139A">
        <w:rPr>
          <w:rFonts w:eastAsia="仿宋_GB2312"/>
          <w:sz w:val="32"/>
          <w:szCs w:val="32"/>
        </w:rPr>
        <w:t>台的规范性文件一致。</w:t>
      </w:r>
    </w:p>
    <w:p w:rsidR="000D139A" w:rsidRPr="000D139A" w:rsidRDefault="000D139A" w:rsidP="000D139A">
      <w:pPr>
        <w:adjustRightInd w:val="0"/>
        <w:snapToGrid w:val="0"/>
        <w:spacing w:line="560" w:lineRule="exact"/>
        <w:ind w:firstLineChars="200" w:firstLine="640"/>
        <w:rPr>
          <w:rFonts w:ascii="楷体_GB2312" w:eastAsia="楷体_GB2312"/>
          <w:bCs/>
          <w:sz w:val="32"/>
          <w:szCs w:val="32"/>
        </w:rPr>
      </w:pPr>
      <w:r w:rsidRPr="000D139A">
        <w:rPr>
          <w:rFonts w:ascii="楷体_GB2312" w:eastAsia="楷体_GB2312" w:hint="eastAsia"/>
          <w:bCs/>
          <w:sz w:val="32"/>
          <w:szCs w:val="32"/>
        </w:rPr>
        <w:t>（六）质量管理体系文件</w:t>
      </w:r>
    </w:p>
    <w:p w:rsidR="000D139A" w:rsidRPr="000D139A" w:rsidRDefault="000D139A" w:rsidP="000D139A">
      <w:pPr>
        <w:adjustRightInd w:val="0"/>
        <w:snapToGrid w:val="0"/>
        <w:spacing w:line="560" w:lineRule="exact"/>
        <w:ind w:firstLineChars="200" w:firstLine="640"/>
        <w:rPr>
          <w:rFonts w:eastAsia="仿宋_GB2312"/>
          <w:bCs/>
          <w:sz w:val="32"/>
          <w:szCs w:val="32"/>
        </w:rPr>
      </w:pPr>
      <w:r w:rsidRPr="000D139A">
        <w:rPr>
          <w:rFonts w:eastAsia="仿宋_GB2312"/>
          <w:sz w:val="32"/>
        </w:rPr>
        <w:t>冲洗器生产过程除须符合《医疗器械生产质量管理规范》及相关规定外，其预充氯化钠注射液的生产灌装过程还应同时符合《药品生产质量管理规范》的有关规定。</w:t>
      </w:r>
    </w:p>
    <w:p w:rsidR="000D139A" w:rsidRPr="000D139A" w:rsidRDefault="000D139A" w:rsidP="000D139A">
      <w:pPr>
        <w:adjustRightInd w:val="0"/>
        <w:snapToGrid w:val="0"/>
        <w:spacing w:line="560" w:lineRule="exact"/>
        <w:ind w:firstLineChars="200" w:firstLine="640"/>
        <w:rPr>
          <w:rFonts w:eastAsia="黑体"/>
          <w:bCs/>
          <w:sz w:val="32"/>
          <w:szCs w:val="32"/>
        </w:rPr>
      </w:pPr>
      <w:r w:rsidRPr="000D139A">
        <w:rPr>
          <w:rFonts w:eastAsia="黑体"/>
          <w:bCs/>
          <w:sz w:val="32"/>
          <w:szCs w:val="32"/>
        </w:rPr>
        <w:t>三、参考文献</w:t>
      </w:r>
    </w:p>
    <w:p w:rsidR="000D139A" w:rsidRPr="000D139A" w:rsidRDefault="000D139A" w:rsidP="000D139A">
      <w:pPr>
        <w:adjustRightInd w:val="0"/>
        <w:snapToGrid w:val="0"/>
        <w:spacing w:line="560" w:lineRule="exact"/>
        <w:ind w:firstLineChars="200" w:firstLine="664"/>
        <w:rPr>
          <w:rFonts w:eastAsia="仿宋_GB2312"/>
          <w:bCs/>
          <w:spacing w:val="6"/>
          <w:sz w:val="32"/>
          <w:szCs w:val="32"/>
        </w:rPr>
      </w:pPr>
      <w:r w:rsidRPr="000D139A">
        <w:rPr>
          <w:rFonts w:eastAsia="仿宋_GB2312"/>
          <w:bCs/>
          <w:spacing w:val="6"/>
          <w:sz w:val="32"/>
          <w:szCs w:val="32"/>
        </w:rPr>
        <w:t>[1]</w:t>
      </w:r>
      <w:r w:rsidRPr="000D139A">
        <w:rPr>
          <w:rFonts w:eastAsia="仿宋_GB2312"/>
          <w:bCs/>
          <w:spacing w:val="6"/>
          <w:sz w:val="32"/>
          <w:szCs w:val="32"/>
        </w:rPr>
        <w:t>中华人民共和国国务院</w:t>
      </w:r>
      <w:r w:rsidRPr="000D139A">
        <w:rPr>
          <w:rFonts w:eastAsia="仿宋_GB2312"/>
          <w:bCs/>
          <w:spacing w:val="6"/>
          <w:sz w:val="32"/>
          <w:szCs w:val="32"/>
        </w:rPr>
        <w:t>.</w:t>
      </w:r>
      <w:r w:rsidRPr="000D139A">
        <w:rPr>
          <w:rFonts w:eastAsia="仿宋_GB2312"/>
          <w:bCs/>
          <w:spacing w:val="6"/>
          <w:sz w:val="32"/>
          <w:szCs w:val="32"/>
        </w:rPr>
        <w:t>医疗器械监督管理条例：中华人民共和国国务院令第</w:t>
      </w:r>
      <w:r w:rsidRPr="000D139A">
        <w:rPr>
          <w:rFonts w:eastAsia="仿宋_GB2312"/>
          <w:bCs/>
          <w:spacing w:val="6"/>
          <w:sz w:val="32"/>
          <w:szCs w:val="32"/>
        </w:rPr>
        <w:t>739</w:t>
      </w:r>
      <w:r w:rsidRPr="000D139A">
        <w:rPr>
          <w:rFonts w:eastAsia="仿宋_GB2312"/>
          <w:bCs/>
          <w:spacing w:val="6"/>
          <w:sz w:val="32"/>
          <w:szCs w:val="32"/>
        </w:rPr>
        <w:t>号</w:t>
      </w:r>
      <w:r w:rsidRPr="000D139A">
        <w:rPr>
          <w:rFonts w:eastAsia="仿宋_GB2312"/>
          <w:bCs/>
          <w:spacing w:val="6"/>
          <w:sz w:val="32"/>
          <w:szCs w:val="32"/>
        </w:rPr>
        <w:t>[Z].</w:t>
      </w:r>
    </w:p>
    <w:p w:rsidR="000D139A" w:rsidRPr="000D139A" w:rsidRDefault="000D139A" w:rsidP="000D139A">
      <w:pPr>
        <w:adjustRightInd w:val="0"/>
        <w:snapToGrid w:val="0"/>
        <w:spacing w:line="560" w:lineRule="exact"/>
        <w:ind w:firstLineChars="200" w:firstLine="664"/>
        <w:rPr>
          <w:rFonts w:eastAsia="仿宋_GB2312"/>
          <w:bCs/>
          <w:spacing w:val="6"/>
          <w:sz w:val="32"/>
          <w:szCs w:val="32"/>
        </w:rPr>
      </w:pPr>
      <w:r w:rsidRPr="000D139A">
        <w:rPr>
          <w:rFonts w:eastAsia="仿宋_GB2312"/>
          <w:bCs/>
          <w:spacing w:val="6"/>
          <w:sz w:val="32"/>
          <w:szCs w:val="32"/>
        </w:rPr>
        <w:t>[2]</w:t>
      </w:r>
      <w:r w:rsidRPr="000D139A">
        <w:rPr>
          <w:rFonts w:eastAsia="仿宋_GB2312"/>
          <w:bCs/>
          <w:spacing w:val="6"/>
          <w:sz w:val="32"/>
          <w:szCs w:val="32"/>
        </w:rPr>
        <w:t>国家市场监督管理总局</w:t>
      </w:r>
      <w:r w:rsidRPr="000D139A">
        <w:rPr>
          <w:rFonts w:eastAsia="仿宋_GB2312"/>
          <w:bCs/>
          <w:spacing w:val="6"/>
          <w:sz w:val="32"/>
          <w:szCs w:val="32"/>
        </w:rPr>
        <w:t>.</w:t>
      </w:r>
      <w:r w:rsidRPr="000D139A">
        <w:rPr>
          <w:rFonts w:eastAsia="仿宋_GB2312"/>
          <w:bCs/>
          <w:spacing w:val="6"/>
          <w:sz w:val="32"/>
          <w:szCs w:val="32"/>
        </w:rPr>
        <w:t>医疗器械注册与备案管理办法：国家市场监督管理总局令第</w:t>
      </w:r>
      <w:r w:rsidRPr="000D139A">
        <w:rPr>
          <w:rFonts w:eastAsia="仿宋_GB2312"/>
          <w:bCs/>
          <w:spacing w:val="6"/>
          <w:sz w:val="32"/>
          <w:szCs w:val="32"/>
        </w:rPr>
        <w:t>47</w:t>
      </w:r>
      <w:r w:rsidRPr="000D139A">
        <w:rPr>
          <w:rFonts w:eastAsia="仿宋_GB2312"/>
          <w:bCs/>
          <w:spacing w:val="6"/>
          <w:sz w:val="32"/>
          <w:szCs w:val="32"/>
        </w:rPr>
        <w:t>号</w:t>
      </w:r>
      <w:r w:rsidRPr="000D139A">
        <w:rPr>
          <w:rFonts w:eastAsia="仿宋_GB2312"/>
          <w:bCs/>
          <w:spacing w:val="6"/>
          <w:sz w:val="32"/>
          <w:szCs w:val="32"/>
        </w:rPr>
        <w:t>[Z].</w:t>
      </w:r>
    </w:p>
    <w:p w:rsidR="000D139A" w:rsidRPr="000D139A" w:rsidRDefault="000D139A" w:rsidP="000D139A">
      <w:pPr>
        <w:adjustRightInd w:val="0"/>
        <w:snapToGrid w:val="0"/>
        <w:spacing w:line="560" w:lineRule="exact"/>
        <w:ind w:firstLineChars="200" w:firstLine="640"/>
        <w:rPr>
          <w:rFonts w:eastAsia="仿宋_GB2312"/>
          <w:bCs/>
          <w:spacing w:val="6"/>
          <w:sz w:val="32"/>
          <w:szCs w:val="32"/>
        </w:rPr>
      </w:pPr>
      <w:r w:rsidRPr="000D139A">
        <w:rPr>
          <w:rFonts w:eastAsia="仿宋_GB2312"/>
          <w:sz w:val="32"/>
          <w:szCs w:val="32"/>
        </w:rPr>
        <w:lastRenderedPageBreak/>
        <w:t>[3]</w:t>
      </w:r>
      <w:r w:rsidRPr="000D139A">
        <w:rPr>
          <w:rFonts w:eastAsia="仿宋_GB2312"/>
          <w:bCs/>
          <w:spacing w:val="6"/>
          <w:sz w:val="32"/>
          <w:szCs w:val="32"/>
        </w:rPr>
        <w:t>原国家食品药品监督管理总局</w:t>
      </w:r>
      <w:r w:rsidRPr="000D139A">
        <w:rPr>
          <w:rFonts w:eastAsia="仿宋_GB2312"/>
          <w:bCs/>
          <w:spacing w:val="6"/>
          <w:sz w:val="32"/>
          <w:szCs w:val="32"/>
        </w:rPr>
        <w:t>.</w:t>
      </w:r>
      <w:r w:rsidRPr="000D139A">
        <w:rPr>
          <w:rFonts w:eastAsia="仿宋_GB2312"/>
          <w:bCs/>
          <w:spacing w:val="6"/>
          <w:sz w:val="32"/>
          <w:szCs w:val="32"/>
        </w:rPr>
        <w:t>医疗器械说明书和标签管理规定：国家食品药品监督管理总局令第</w:t>
      </w:r>
      <w:r w:rsidRPr="000D139A">
        <w:rPr>
          <w:rFonts w:eastAsia="仿宋_GB2312"/>
          <w:bCs/>
          <w:spacing w:val="6"/>
          <w:sz w:val="32"/>
          <w:szCs w:val="32"/>
        </w:rPr>
        <w:t>6</w:t>
      </w:r>
      <w:r w:rsidRPr="000D139A">
        <w:rPr>
          <w:rFonts w:eastAsia="仿宋_GB2312"/>
          <w:bCs/>
          <w:spacing w:val="6"/>
          <w:sz w:val="32"/>
          <w:szCs w:val="32"/>
        </w:rPr>
        <w:t>号</w:t>
      </w:r>
      <w:r w:rsidRPr="000D139A">
        <w:rPr>
          <w:rFonts w:eastAsia="仿宋_GB2312"/>
          <w:bCs/>
          <w:spacing w:val="6"/>
          <w:sz w:val="32"/>
          <w:szCs w:val="32"/>
        </w:rPr>
        <w:t>[Z].</w:t>
      </w:r>
    </w:p>
    <w:p w:rsidR="000D139A" w:rsidRPr="000D139A" w:rsidRDefault="000D139A" w:rsidP="000D139A">
      <w:pPr>
        <w:adjustRightInd w:val="0"/>
        <w:snapToGrid w:val="0"/>
        <w:spacing w:line="560" w:lineRule="exact"/>
        <w:ind w:firstLineChars="200" w:firstLine="640"/>
        <w:rPr>
          <w:rFonts w:eastAsia="仿宋_GB2312"/>
          <w:bCs/>
          <w:spacing w:val="6"/>
          <w:sz w:val="32"/>
          <w:szCs w:val="32"/>
        </w:rPr>
      </w:pPr>
      <w:r w:rsidRPr="000D139A">
        <w:rPr>
          <w:rFonts w:eastAsia="仿宋_GB2312"/>
          <w:sz w:val="32"/>
          <w:szCs w:val="32"/>
        </w:rPr>
        <w:t>[4]</w:t>
      </w:r>
      <w:r w:rsidRPr="000D139A">
        <w:rPr>
          <w:rFonts w:eastAsia="仿宋_GB2312"/>
          <w:bCs/>
          <w:spacing w:val="6"/>
          <w:sz w:val="32"/>
          <w:szCs w:val="32"/>
        </w:rPr>
        <w:t>国家药品监督管理局</w:t>
      </w:r>
      <w:r w:rsidRPr="000D139A">
        <w:rPr>
          <w:rFonts w:eastAsia="仿宋_GB2312"/>
          <w:bCs/>
          <w:spacing w:val="6"/>
          <w:sz w:val="32"/>
          <w:szCs w:val="32"/>
        </w:rPr>
        <w:t>.</w:t>
      </w:r>
      <w:r w:rsidRPr="000D139A">
        <w:rPr>
          <w:rFonts w:eastAsia="仿宋_GB2312"/>
          <w:bCs/>
          <w:spacing w:val="6"/>
          <w:sz w:val="32"/>
          <w:szCs w:val="32"/>
        </w:rPr>
        <w:t>国家药监局关于发布医疗器械临床评价技术指导原则等</w:t>
      </w:r>
      <w:r w:rsidRPr="000D139A">
        <w:rPr>
          <w:rFonts w:eastAsia="仿宋_GB2312"/>
          <w:bCs/>
          <w:spacing w:val="6"/>
          <w:sz w:val="32"/>
          <w:szCs w:val="32"/>
        </w:rPr>
        <w:t>5</w:t>
      </w:r>
      <w:r w:rsidRPr="000D139A">
        <w:rPr>
          <w:rFonts w:eastAsia="仿宋_GB2312"/>
          <w:bCs/>
          <w:spacing w:val="6"/>
          <w:sz w:val="32"/>
          <w:szCs w:val="32"/>
        </w:rPr>
        <w:t>项技术指导原则的通告：国家药品监督管理局</w:t>
      </w:r>
      <w:r w:rsidRPr="000D139A">
        <w:rPr>
          <w:rFonts w:eastAsia="仿宋_GB2312"/>
          <w:bCs/>
          <w:spacing w:val="6"/>
          <w:sz w:val="32"/>
          <w:szCs w:val="32"/>
        </w:rPr>
        <w:t>2021</w:t>
      </w:r>
      <w:r w:rsidRPr="000D139A">
        <w:rPr>
          <w:rFonts w:eastAsia="仿宋_GB2312"/>
          <w:bCs/>
          <w:spacing w:val="6"/>
          <w:sz w:val="32"/>
          <w:szCs w:val="32"/>
        </w:rPr>
        <w:t>第</w:t>
      </w:r>
      <w:r w:rsidRPr="000D139A">
        <w:rPr>
          <w:rFonts w:eastAsia="仿宋_GB2312"/>
          <w:bCs/>
          <w:spacing w:val="6"/>
          <w:sz w:val="32"/>
          <w:szCs w:val="32"/>
        </w:rPr>
        <w:t>73</w:t>
      </w:r>
      <w:r w:rsidRPr="000D139A">
        <w:rPr>
          <w:rFonts w:eastAsia="仿宋_GB2312"/>
          <w:bCs/>
          <w:spacing w:val="6"/>
          <w:sz w:val="32"/>
          <w:szCs w:val="32"/>
        </w:rPr>
        <w:t>号通告</w:t>
      </w:r>
      <w:r w:rsidRPr="000D139A">
        <w:rPr>
          <w:rFonts w:eastAsia="仿宋_GB2312"/>
          <w:bCs/>
          <w:spacing w:val="6"/>
          <w:sz w:val="32"/>
          <w:szCs w:val="32"/>
        </w:rPr>
        <w:t>[Z].</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[5]</w:t>
      </w:r>
      <w:r w:rsidRPr="000D139A">
        <w:rPr>
          <w:rFonts w:eastAsia="仿宋_GB2312"/>
          <w:bCs/>
          <w:spacing w:val="6"/>
          <w:sz w:val="32"/>
          <w:szCs w:val="32"/>
        </w:rPr>
        <w:t>国家药品监督管理局</w:t>
      </w:r>
      <w:r w:rsidRPr="000D139A">
        <w:rPr>
          <w:rFonts w:eastAsia="仿宋_GB2312"/>
          <w:bCs/>
          <w:spacing w:val="6"/>
          <w:sz w:val="32"/>
          <w:szCs w:val="32"/>
        </w:rPr>
        <w:t>.</w:t>
      </w:r>
      <w:r w:rsidRPr="000D139A">
        <w:rPr>
          <w:rFonts w:eastAsia="仿宋_GB2312"/>
          <w:bCs/>
          <w:spacing w:val="6"/>
          <w:sz w:val="32"/>
          <w:szCs w:val="32"/>
        </w:rPr>
        <w:t>关于发布医疗器械产品技术要求编写指导原则的通告：国家药品监督管理局通告</w:t>
      </w:r>
      <w:r w:rsidRPr="000D139A">
        <w:rPr>
          <w:rFonts w:eastAsia="仿宋_GB2312"/>
          <w:bCs/>
          <w:spacing w:val="6"/>
          <w:sz w:val="32"/>
          <w:szCs w:val="32"/>
        </w:rPr>
        <w:t>2022</w:t>
      </w:r>
      <w:r w:rsidRPr="000D139A">
        <w:rPr>
          <w:rFonts w:eastAsia="仿宋_GB2312"/>
          <w:bCs/>
          <w:spacing w:val="6"/>
          <w:sz w:val="32"/>
          <w:szCs w:val="32"/>
        </w:rPr>
        <w:t>年第</w:t>
      </w:r>
      <w:r w:rsidRPr="000D139A">
        <w:rPr>
          <w:rFonts w:eastAsia="仿宋_GB2312"/>
          <w:bCs/>
          <w:spacing w:val="6"/>
          <w:sz w:val="32"/>
          <w:szCs w:val="32"/>
        </w:rPr>
        <w:t>8</w:t>
      </w:r>
      <w:r w:rsidRPr="000D139A">
        <w:rPr>
          <w:rFonts w:eastAsia="仿宋_GB2312"/>
          <w:bCs/>
          <w:spacing w:val="6"/>
          <w:sz w:val="32"/>
          <w:szCs w:val="32"/>
        </w:rPr>
        <w:t>号</w:t>
      </w:r>
      <w:r w:rsidRPr="000D139A">
        <w:rPr>
          <w:rFonts w:eastAsia="仿宋_GB2312"/>
          <w:bCs/>
          <w:spacing w:val="6"/>
          <w:sz w:val="32"/>
          <w:szCs w:val="32"/>
        </w:rPr>
        <w:t>[Z].</w:t>
      </w:r>
      <w:r w:rsidRPr="000D139A">
        <w:rPr>
          <w:rFonts w:eastAsia="仿宋_GB2312"/>
          <w:sz w:val="32"/>
          <w:szCs w:val="32"/>
        </w:rPr>
        <w:t xml:space="preserve"> </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[6]</w:t>
      </w:r>
      <w:r w:rsidRPr="000D139A">
        <w:rPr>
          <w:rFonts w:eastAsia="仿宋_GB2312"/>
          <w:bCs/>
          <w:spacing w:val="6"/>
          <w:sz w:val="32"/>
          <w:szCs w:val="32"/>
        </w:rPr>
        <w:t>国家药品监督管理局</w:t>
      </w:r>
      <w:r w:rsidRPr="000D139A">
        <w:rPr>
          <w:rFonts w:eastAsia="仿宋_GB2312"/>
          <w:bCs/>
          <w:spacing w:val="6"/>
          <w:sz w:val="32"/>
          <w:szCs w:val="32"/>
        </w:rPr>
        <w:t>.</w:t>
      </w:r>
      <w:r w:rsidRPr="000D139A">
        <w:rPr>
          <w:rFonts w:eastAsia="仿宋_GB2312"/>
          <w:bCs/>
          <w:spacing w:val="6"/>
          <w:sz w:val="32"/>
          <w:szCs w:val="32"/>
        </w:rPr>
        <w:t>国家药品监督管理局关于公布医疗器械注册申报资料要求和批准证明文件格式的公告：</w:t>
      </w:r>
      <w:r w:rsidRPr="000D139A">
        <w:rPr>
          <w:rFonts w:eastAsia="仿宋_GB2312"/>
          <w:bCs/>
          <w:spacing w:val="6"/>
          <w:sz w:val="32"/>
          <w:szCs w:val="32"/>
        </w:rPr>
        <w:t>2021</w:t>
      </w:r>
      <w:r w:rsidRPr="000D139A">
        <w:rPr>
          <w:rFonts w:eastAsia="仿宋_GB2312"/>
          <w:bCs/>
          <w:spacing w:val="6"/>
          <w:sz w:val="32"/>
          <w:szCs w:val="32"/>
        </w:rPr>
        <w:t>年第</w:t>
      </w:r>
      <w:r w:rsidRPr="000D139A">
        <w:rPr>
          <w:rFonts w:eastAsia="仿宋_GB2312"/>
          <w:bCs/>
          <w:spacing w:val="6"/>
          <w:sz w:val="32"/>
          <w:szCs w:val="32"/>
        </w:rPr>
        <w:t>121</w:t>
      </w:r>
      <w:r w:rsidRPr="000D139A">
        <w:rPr>
          <w:rFonts w:eastAsia="仿宋_GB2312"/>
          <w:bCs/>
          <w:spacing w:val="6"/>
          <w:sz w:val="32"/>
          <w:szCs w:val="32"/>
        </w:rPr>
        <w:t>号</w:t>
      </w:r>
      <w:r w:rsidRPr="000D139A">
        <w:rPr>
          <w:rFonts w:eastAsia="仿宋_GB2312"/>
          <w:bCs/>
          <w:spacing w:val="6"/>
          <w:sz w:val="32"/>
          <w:szCs w:val="32"/>
        </w:rPr>
        <w:t>[Z].</w:t>
      </w:r>
    </w:p>
    <w:p w:rsidR="000D139A" w:rsidRPr="000D139A" w:rsidRDefault="000D139A" w:rsidP="000D139A">
      <w:pPr>
        <w:adjustRightInd w:val="0"/>
        <w:snapToGrid w:val="0"/>
        <w:spacing w:line="560" w:lineRule="exact"/>
        <w:ind w:firstLineChars="200" w:firstLine="640"/>
        <w:rPr>
          <w:rFonts w:eastAsia="仿宋_GB2312"/>
          <w:bCs/>
          <w:spacing w:val="6"/>
          <w:sz w:val="32"/>
          <w:szCs w:val="32"/>
        </w:rPr>
      </w:pPr>
      <w:r w:rsidRPr="000D139A">
        <w:rPr>
          <w:rFonts w:eastAsia="仿宋_GB2312"/>
          <w:sz w:val="32"/>
          <w:szCs w:val="32"/>
        </w:rPr>
        <w:t>[7]</w:t>
      </w:r>
      <w:r w:rsidRPr="000D139A">
        <w:rPr>
          <w:rFonts w:eastAsia="仿宋_GB2312"/>
          <w:bCs/>
          <w:spacing w:val="6"/>
          <w:sz w:val="32"/>
          <w:szCs w:val="32"/>
        </w:rPr>
        <w:t>国家食品药品监督管理总局</w:t>
      </w:r>
      <w:r w:rsidRPr="000D139A">
        <w:rPr>
          <w:rFonts w:eastAsia="仿宋_GB2312"/>
          <w:bCs/>
          <w:spacing w:val="6"/>
          <w:sz w:val="32"/>
          <w:szCs w:val="32"/>
        </w:rPr>
        <w:t>.</w:t>
      </w:r>
      <w:r w:rsidRPr="000D139A">
        <w:rPr>
          <w:rFonts w:eastAsia="仿宋_GB2312"/>
          <w:bCs/>
          <w:spacing w:val="6"/>
          <w:sz w:val="32"/>
          <w:szCs w:val="32"/>
        </w:rPr>
        <w:t>医疗器械通用名称命名规则：国家食品药品监督管理总局令第</w:t>
      </w:r>
      <w:r w:rsidRPr="000D139A">
        <w:rPr>
          <w:rFonts w:eastAsia="仿宋_GB2312"/>
          <w:bCs/>
          <w:spacing w:val="6"/>
          <w:sz w:val="32"/>
          <w:szCs w:val="32"/>
        </w:rPr>
        <w:t>19</w:t>
      </w:r>
      <w:r w:rsidRPr="000D139A">
        <w:rPr>
          <w:rFonts w:eastAsia="仿宋_GB2312"/>
          <w:bCs/>
          <w:spacing w:val="6"/>
          <w:sz w:val="32"/>
          <w:szCs w:val="32"/>
        </w:rPr>
        <w:t>号</w:t>
      </w:r>
      <w:r w:rsidRPr="000D139A">
        <w:rPr>
          <w:rFonts w:eastAsia="仿宋_GB2312"/>
          <w:bCs/>
          <w:spacing w:val="6"/>
          <w:sz w:val="32"/>
          <w:szCs w:val="32"/>
        </w:rPr>
        <w:t>[Z].</w:t>
      </w:r>
    </w:p>
    <w:p w:rsidR="000D139A" w:rsidRPr="000D139A" w:rsidRDefault="000D139A" w:rsidP="000D139A">
      <w:pPr>
        <w:adjustRightInd w:val="0"/>
        <w:snapToGrid w:val="0"/>
        <w:spacing w:line="560" w:lineRule="exact"/>
        <w:ind w:firstLineChars="200" w:firstLine="640"/>
        <w:rPr>
          <w:rFonts w:eastAsia="仿宋_GB2312"/>
          <w:bCs/>
          <w:spacing w:val="6"/>
          <w:sz w:val="32"/>
          <w:szCs w:val="32"/>
        </w:rPr>
      </w:pPr>
      <w:r w:rsidRPr="000D139A">
        <w:rPr>
          <w:rFonts w:eastAsia="仿宋_GB2312"/>
          <w:sz w:val="32"/>
          <w:szCs w:val="32"/>
        </w:rPr>
        <w:t>[8]</w:t>
      </w:r>
      <w:r w:rsidRPr="000D139A">
        <w:rPr>
          <w:rFonts w:eastAsia="仿宋_GB2312"/>
          <w:bCs/>
          <w:spacing w:val="6"/>
          <w:sz w:val="32"/>
          <w:szCs w:val="32"/>
        </w:rPr>
        <w:t>国家食品药品监督管理总局</w:t>
      </w:r>
      <w:r w:rsidRPr="000D139A">
        <w:rPr>
          <w:rFonts w:eastAsia="仿宋_GB2312"/>
          <w:bCs/>
          <w:spacing w:val="6"/>
          <w:sz w:val="32"/>
          <w:szCs w:val="32"/>
        </w:rPr>
        <w:t>.</w:t>
      </w:r>
      <w:r w:rsidRPr="000D139A">
        <w:rPr>
          <w:rFonts w:eastAsia="仿宋_GB2312"/>
          <w:bCs/>
          <w:spacing w:val="6"/>
          <w:sz w:val="32"/>
          <w:szCs w:val="32"/>
        </w:rPr>
        <w:t>总局关于发布医疗器械分类目录的公告：国家食品药品监督管理总局公告</w:t>
      </w:r>
      <w:r w:rsidRPr="000D139A">
        <w:rPr>
          <w:rFonts w:eastAsia="仿宋_GB2312"/>
          <w:bCs/>
          <w:spacing w:val="6"/>
          <w:sz w:val="32"/>
          <w:szCs w:val="32"/>
        </w:rPr>
        <w:t>2017</w:t>
      </w:r>
      <w:r w:rsidRPr="000D139A">
        <w:rPr>
          <w:rFonts w:eastAsia="仿宋_GB2312"/>
          <w:bCs/>
          <w:spacing w:val="6"/>
          <w:sz w:val="32"/>
          <w:szCs w:val="32"/>
        </w:rPr>
        <w:t>年第</w:t>
      </w:r>
      <w:r w:rsidRPr="000D139A">
        <w:rPr>
          <w:rFonts w:eastAsia="仿宋_GB2312"/>
          <w:bCs/>
          <w:spacing w:val="6"/>
          <w:sz w:val="32"/>
          <w:szCs w:val="32"/>
        </w:rPr>
        <w:t>104</w:t>
      </w:r>
      <w:r w:rsidRPr="000D139A">
        <w:rPr>
          <w:rFonts w:eastAsia="仿宋_GB2312"/>
          <w:bCs/>
          <w:spacing w:val="6"/>
          <w:sz w:val="32"/>
          <w:szCs w:val="32"/>
        </w:rPr>
        <w:t>号</w:t>
      </w:r>
      <w:r w:rsidRPr="000D139A">
        <w:rPr>
          <w:rFonts w:eastAsia="仿宋_GB2312"/>
          <w:bCs/>
          <w:spacing w:val="6"/>
          <w:sz w:val="32"/>
          <w:szCs w:val="32"/>
        </w:rPr>
        <w:t>[Z].</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[9] GB/T 16886.1</w:t>
      </w:r>
      <w:r w:rsidRPr="000D139A">
        <w:rPr>
          <w:rFonts w:eastAsia="仿宋_GB2312"/>
          <w:sz w:val="32"/>
          <w:szCs w:val="32"/>
        </w:rPr>
        <w:t>，医疗器械生物学评价第</w:t>
      </w:r>
      <w:r w:rsidRPr="000D139A">
        <w:rPr>
          <w:rFonts w:eastAsia="仿宋_GB2312"/>
          <w:sz w:val="32"/>
          <w:szCs w:val="32"/>
        </w:rPr>
        <w:t>1</w:t>
      </w:r>
      <w:r w:rsidRPr="000D139A">
        <w:rPr>
          <w:rFonts w:eastAsia="仿宋_GB2312"/>
          <w:sz w:val="32"/>
          <w:szCs w:val="32"/>
        </w:rPr>
        <w:t>部分：风险管理过程中的评价与试验</w:t>
      </w:r>
      <w:r w:rsidRPr="000D139A">
        <w:rPr>
          <w:rFonts w:eastAsia="仿宋_GB2312"/>
          <w:sz w:val="32"/>
          <w:szCs w:val="32"/>
        </w:rPr>
        <w:t>[S].</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[10]</w:t>
      </w:r>
      <w:r w:rsidRPr="000D139A">
        <w:t xml:space="preserve"> </w:t>
      </w:r>
      <w:r w:rsidRPr="000D139A">
        <w:rPr>
          <w:rFonts w:eastAsia="仿宋_GB2312"/>
          <w:sz w:val="32"/>
          <w:szCs w:val="32"/>
        </w:rPr>
        <w:t>中华人民共和国药典（</w:t>
      </w:r>
      <w:r w:rsidRPr="000D139A">
        <w:rPr>
          <w:rFonts w:eastAsia="仿宋_GB2312"/>
          <w:sz w:val="32"/>
          <w:szCs w:val="32"/>
        </w:rPr>
        <w:t>2020</w:t>
      </w:r>
      <w:r w:rsidRPr="000D139A">
        <w:rPr>
          <w:rFonts w:eastAsia="仿宋_GB2312"/>
          <w:sz w:val="32"/>
          <w:szCs w:val="32"/>
        </w:rPr>
        <w:t>版）</w:t>
      </w:r>
      <w:r w:rsidRPr="000D139A">
        <w:rPr>
          <w:rFonts w:eastAsia="仿宋_GB2312"/>
          <w:sz w:val="32"/>
          <w:szCs w:val="32"/>
        </w:rPr>
        <w:t>[S].</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[11]</w:t>
      </w:r>
      <w:r w:rsidRPr="000D139A">
        <w:rPr>
          <w:rFonts w:eastAsia="仿宋_GB2312"/>
          <w:bCs/>
          <w:sz w:val="32"/>
          <w:szCs w:val="32"/>
        </w:rPr>
        <w:t xml:space="preserve"> </w:t>
      </w:r>
      <w:r w:rsidRPr="000D139A">
        <w:rPr>
          <w:rFonts w:eastAsia="仿宋_GB2312"/>
          <w:sz w:val="32"/>
          <w:szCs w:val="32"/>
        </w:rPr>
        <w:t>GB 15810-2019</w:t>
      </w:r>
      <w:r w:rsidRPr="000D139A">
        <w:rPr>
          <w:rFonts w:eastAsia="仿宋_GB2312"/>
          <w:sz w:val="32"/>
          <w:szCs w:val="32"/>
        </w:rPr>
        <w:t>，</w:t>
      </w:r>
      <w:r w:rsidRPr="000D139A">
        <w:rPr>
          <w:rFonts w:eastAsia="仿宋_GB2312"/>
          <w:bCs/>
          <w:sz w:val="32"/>
          <w:szCs w:val="32"/>
        </w:rPr>
        <w:t>一</w:t>
      </w:r>
      <w:r w:rsidRPr="000D139A">
        <w:rPr>
          <w:rFonts w:eastAsia="仿宋_GB2312"/>
          <w:sz w:val="32"/>
          <w:szCs w:val="32"/>
        </w:rPr>
        <w:t>次性使用无菌注射器</w:t>
      </w:r>
      <w:r w:rsidRPr="000D139A">
        <w:rPr>
          <w:rFonts w:eastAsia="仿宋_GB2312"/>
          <w:sz w:val="32"/>
          <w:szCs w:val="32"/>
        </w:rPr>
        <w:t>[S].</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[12]YY/T 0242</w:t>
      </w:r>
      <w:r w:rsidRPr="000D139A">
        <w:rPr>
          <w:rFonts w:eastAsia="仿宋_GB2312"/>
          <w:sz w:val="32"/>
          <w:szCs w:val="32"/>
        </w:rPr>
        <w:t>，医用输液、输血、注射器具用聚丙烯专用料</w:t>
      </w:r>
      <w:r w:rsidRPr="000D139A">
        <w:rPr>
          <w:rFonts w:eastAsia="仿宋_GB2312"/>
          <w:sz w:val="32"/>
          <w:szCs w:val="32"/>
        </w:rPr>
        <w:t>[S].</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[13]</w:t>
      </w:r>
      <w:r w:rsidRPr="000D139A">
        <w:rPr>
          <w:rFonts w:eastAsia="仿宋_GB2312"/>
          <w:sz w:val="32"/>
          <w:szCs w:val="32"/>
        </w:rPr>
        <w:t>国家食品药品监督管理局</w:t>
      </w:r>
      <w:r w:rsidRPr="000D139A">
        <w:rPr>
          <w:rFonts w:eastAsia="仿宋_GB2312"/>
          <w:sz w:val="32"/>
          <w:szCs w:val="32"/>
        </w:rPr>
        <w:t xml:space="preserve">. </w:t>
      </w:r>
      <w:r w:rsidRPr="000D139A">
        <w:rPr>
          <w:rFonts w:eastAsia="仿宋_GB2312"/>
          <w:sz w:val="32"/>
          <w:szCs w:val="32"/>
        </w:rPr>
        <w:t>国家食品药品监督管理局</w:t>
      </w:r>
      <w:r w:rsidRPr="000D139A">
        <w:rPr>
          <w:rFonts w:eastAsia="仿宋_GB2312"/>
          <w:sz w:val="32"/>
          <w:szCs w:val="32"/>
        </w:rPr>
        <w:lastRenderedPageBreak/>
        <w:t>关于印发化学药品注射剂与塑料包装材料相容性研究技术指导原则（试行）的通知</w:t>
      </w:r>
      <w:r w:rsidRPr="000D139A">
        <w:rPr>
          <w:rFonts w:eastAsia="仿宋_GB2312"/>
          <w:sz w:val="32"/>
          <w:szCs w:val="32"/>
        </w:rPr>
        <w:t xml:space="preserve">: </w:t>
      </w:r>
      <w:r w:rsidRPr="000D139A">
        <w:rPr>
          <w:rFonts w:eastAsia="仿宋_GB2312"/>
          <w:sz w:val="32"/>
          <w:szCs w:val="32"/>
        </w:rPr>
        <w:t>国食药监注</w:t>
      </w:r>
      <w:r w:rsidRPr="000D139A">
        <w:rPr>
          <w:rFonts w:eastAsia="仿宋_GB2312"/>
          <w:sz w:val="32"/>
          <w:szCs w:val="32"/>
        </w:rPr>
        <w:t>[2012]267</w:t>
      </w:r>
      <w:r w:rsidRPr="000D139A">
        <w:rPr>
          <w:rFonts w:eastAsia="仿宋_GB2312"/>
          <w:sz w:val="32"/>
          <w:szCs w:val="32"/>
        </w:rPr>
        <w:t>号</w:t>
      </w:r>
      <w:r w:rsidRPr="000D139A">
        <w:rPr>
          <w:rFonts w:eastAsia="仿宋_GB2312"/>
          <w:sz w:val="32"/>
          <w:szCs w:val="32"/>
        </w:rPr>
        <w:t>[Z].</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[14]</w:t>
      </w:r>
      <w:r w:rsidRPr="000D139A">
        <w:rPr>
          <w:rFonts w:eastAsia="仿宋_GB2312"/>
          <w:sz w:val="32"/>
          <w:szCs w:val="32"/>
        </w:rPr>
        <w:t>国家药品监督管理局</w:t>
      </w:r>
      <w:r w:rsidRPr="000D139A">
        <w:rPr>
          <w:rFonts w:eastAsia="仿宋_GB2312"/>
          <w:sz w:val="32"/>
          <w:szCs w:val="32"/>
        </w:rPr>
        <w:t>.</w:t>
      </w:r>
      <w:r w:rsidRPr="000D139A">
        <w:rPr>
          <w:rFonts w:eastAsia="仿宋_GB2312"/>
          <w:sz w:val="32"/>
          <w:szCs w:val="32"/>
        </w:rPr>
        <w:t>国家药品监督管理局关于发布化学药品与弹性体密封件相容性研究技术指导原则（试行）的通告</w:t>
      </w:r>
      <w:r w:rsidRPr="000D139A">
        <w:rPr>
          <w:rFonts w:eastAsia="仿宋_GB2312"/>
          <w:sz w:val="32"/>
          <w:szCs w:val="32"/>
        </w:rPr>
        <w:t>: 2018</w:t>
      </w:r>
      <w:r w:rsidRPr="000D139A">
        <w:rPr>
          <w:rFonts w:eastAsia="仿宋_GB2312"/>
          <w:sz w:val="32"/>
          <w:szCs w:val="32"/>
        </w:rPr>
        <w:t>年第</w:t>
      </w:r>
      <w:r w:rsidRPr="000D139A">
        <w:rPr>
          <w:rFonts w:eastAsia="仿宋_GB2312"/>
          <w:sz w:val="32"/>
          <w:szCs w:val="32"/>
        </w:rPr>
        <w:t>14</w:t>
      </w:r>
      <w:r w:rsidRPr="000D139A">
        <w:rPr>
          <w:rFonts w:eastAsia="仿宋_GB2312"/>
          <w:sz w:val="32"/>
          <w:szCs w:val="32"/>
        </w:rPr>
        <w:t>号</w:t>
      </w:r>
      <w:r w:rsidRPr="000D139A">
        <w:rPr>
          <w:rFonts w:eastAsia="仿宋_GB2312"/>
          <w:sz w:val="32"/>
          <w:szCs w:val="32"/>
        </w:rPr>
        <w:t>[Z].</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[15]</w:t>
      </w:r>
      <w:r w:rsidRPr="000D139A">
        <w:rPr>
          <w:rFonts w:eastAsia="仿宋_GB2312"/>
          <w:sz w:val="32"/>
          <w:szCs w:val="32"/>
        </w:rPr>
        <w:t>国家食品药品监督管理总局</w:t>
      </w:r>
      <w:r w:rsidRPr="000D139A">
        <w:rPr>
          <w:rFonts w:eastAsia="仿宋_GB2312"/>
          <w:sz w:val="32"/>
          <w:szCs w:val="32"/>
        </w:rPr>
        <w:t>.</w:t>
      </w:r>
      <w:r w:rsidRPr="000D139A">
        <w:rPr>
          <w:rFonts w:eastAsia="仿宋_GB2312"/>
          <w:sz w:val="32"/>
          <w:szCs w:val="32"/>
        </w:rPr>
        <w:t>关于发布普通口服固体制剂溶出度试验技术指导原则和化学药物（原料药和制剂）稳定性研究技术指导原则的通告</w:t>
      </w:r>
      <w:r w:rsidRPr="000D139A">
        <w:rPr>
          <w:rFonts w:eastAsia="仿宋_GB2312"/>
          <w:sz w:val="32"/>
          <w:szCs w:val="32"/>
        </w:rPr>
        <w:t>: 2015</w:t>
      </w:r>
      <w:r w:rsidRPr="000D139A">
        <w:rPr>
          <w:rFonts w:eastAsia="仿宋_GB2312"/>
          <w:sz w:val="32"/>
          <w:szCs w:val="32"/>
        </w:rPr>
        <w:t>年第</w:t>
      </w:r>
      <w:r w:rsidRPr="000D139A">
        <w:rPr>
          <w:rFonts w:eastAsia="仿宋_GB2312"/>
          <w:sz w:val="32"/>
          <w:szCs w:val="32"/>
        </w:rPr>
        <w:t>3</w:t>
      </w:r>
      <w:r w:rsidRPr="000D139A">
        <w:rPr>
          <w:rFonts w:eastAsia="仿宋_GB2312"/>
          <w:sz w:val="32"/>
          <w:szCs w:val="32"/>
        </w:rPr>
        <w:t>号</w:t>
      </w:r>
      <w:r w:rsidRPr="000D139A">
        <w:rPr>
          <w:rFonts w:eastAsia="仿宋_GB2312"/>
          <w:sz w:val="32"/>
          <w:szCs w:val="32"/>
        </w:rPr>
        <w:t>[Z].</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[16]</w:t>
      </w:r>
      <w:r w:rsidRPr="000D139A">
        <w:rPr>
          <w:rFonts w:eastAsia="仿宋_GB2312"/>
          <w:sz w:val="32"/>
          <w:szCs w:val="32"/>
        </w:rPr>
        <w:t>国家药监局药审中心</w:t>
      </w:r>
      <w:r w:rsidRPr="000D139A">
        <w:rPr>
          <w:rFonts w:eastAsia="仿宋_GB2312"/>
          <w:sz w:val="32"/>
          <w:szCs w:val="32"/>
        </w:rPr>
        <w:t xml:space="preserve">. </w:t>
      </w:r>
      <w:r w:rsidRPr="000D139A">
        <w:rPr>
          <w:rFonts w:eastAsia="仿宋_GB2312"/>
          <w:sz w:val="32"/>
          <w:szCs w:val="32"/>
        </w:rPr>
        <w:t>国家药监局药审中心关于发布《化学药品注射剂包装系统密封性研究技术指南（试行）》和《化学药品注射剂生产所用的塑料组件系统相容性研究技术指南（试行）》的通告：</w:t>
      </w:r>
      <w:r w:rsidRPr="000D139A">
        <w:rPr>
          <w:rFonts w:eastAsia="仿宋_GB2312"/>
          <w:sz w:val="32"/>
          <w:szCs w:val="32"/>
        </w:rPr>
        <w:t>2020</w:t>
      </w:r>
      <w:r w:rsidRPr="000D139A">
        <w:rPr>
          <w:rFonts w:eastAsia="仿宋_GB2312"/>
          <w:sz w:val="32"/>
          <w:szCs w:val="32"/>
        </w:rPr>
        <w:t>年第</w:t>
      </w:r>
      <w:r w:rsidRPr="000D139A">
        <w:rPr>
          <w:rFonts w:eastAsia="仿宋_GB2312"/>
          <w:sz w:val="32"/>
          <w:szCs w:val="32"/>
        </w:rPr>
        <w:t>33</w:t>
      </w:r>
      <w:r w:rsidRPr="000D139A">
        <w:rPr>
          <w:rFonts w:eastAsia="仿宋_GB2312"/>
          <w:sz w:val="32"/>
          <w:szCs w:val="32"/>
        </w:rPr>
        <w:t>号</w:t>
      </w:r>
      <w:r w:rsidRPr="000D139A">
        <w:rPr>
          <w:rFonts w:eastAsia="仿宋_GB2312"/>
          <w:sz w:val="32"/>
          <w:szCs w:val="32"/>
        </w:rPr>
        <w:t>[Z].</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[17]</w:t>
      </w:r>
      <w:r w:rsidRPr="000D139A">
        <w:rPr>
          <w:rFonts w:eastAsia="仿宋_GB2312"/>
          <w:sz w:val="32"/>
          <w:szCs w:val="32"/>
        </w:rPr>
        <w:t>国家食品药品监督管理总局</w:t>
      </w:r>
      <w:r w:rsidRPr="000D139A">
        <w:rPr>
          <w:rFonts w:eastAsia="仿宋_GB2312"/>
          <w:sz w:val="32"/>
          <w:szCs w:val="32"/>
        </w:rPr>
        <w:t xml:space="preserve">. </w:t>
      </w:r>
      <w:r w:rsidRPr="000D139A">
        <w:rPr>
          <w:rFonts w:eastAsia="仿宋_GB2312"/>
          <w:sz w:val="32"/>
          <w:szCs w:val="32"/>
        </w:rPr>
        <w:t>总局关于发布无源植入性医疗器械货架有效期注册申报资料指导原则（</w:t>
      </w:r>
      <w:r w:rsidRPr="000D139A">
        <w:rPr>
          <w:rFonts w:eastAsia="仿宋_GB2312"/>
          <w:sz w:val="32"/>
          <w:szCs w:val="32"/>
        </w:rPr>
        <w:t>2017</w:t>
      </w:r>
      <w:r w:rsidRPr="000D139A">
        <w:rPr>
          <w:rFonts w:eastAsia="仿宋_GB2312"/>
          <w:sz w:val="32"/>
          <w:szCs w:val="32"/>
        </w:rPr>
        <w:t>年修订版）的通告：国家食品药品监督管理总局公告</w:t>
      </w:r>
      <w:r w:rsidRPr="000D139A">
        <w:rPr>
          <w:rFonts w:eastAsia="仿宋_GB2312"/>
          <w:sz w:val="32"/>
          <w:szCs w:val="32"/>
        </w:rPr>
        <w:t>2017</w:t>
      </w:r>
      <w:r w:rsidRPr="000D139A">
        <w:rPr>
          <w:rFonts w:eastAsia="仿宋_GB2312"/>
          <w:sz w:val="32"/>
          <w:szCs w:val="32"/>
        </w:rPr>
        <w:t>年第</w:t>
      </w:r>
      <w:r w:rsidRPr="000D139A">
        <w:rPr>
          <w:rFonts w:eastAsia="仿宋_GB2312"/>
          <w:sz w:val="32"/>
          <w:szCs w:val="32"/>
        </w:rPr>
        <w:t>75</w:t>
      </w:r>
      <w:r w:rsidRPr="000D139A">
        <w:rPr>
          <w:rFonts w:eastAsia="仿宋_GB2312"/>
          <w:sz w:val="32"/>
          <w:szCs w:val="32"/>
        </w:rPr>
        <w:t>号</w:t>
      </w:r>
      <w:r w:rsidRPr="000D139A">
        <w:rPr>
          <w:rFonts w:eastAsia="仿宋_GB2312"/>
          <w:sz w:val="32"/>
          <w:szCs w:val="32"/>
        </w:rPr>
        <w:t>[Z].</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[18]YY/T 0681.1</w:t>
      </w:r>
      <w:r w:rsidRPr="000D139A">
        <w:rPr>
          <w:rFonts w:eastAsia="仿宋_GB2312"/>
          <w:sz w:val="32"/>
          <w:szCs w:val="32"/>
        </w:rPr>
        <w:t>，无菌医疗器械包装试验方法第</w:t>
      </w:r>
      <w:r w:rsidRPr="000D139A">
        <w:rPr>
          <w:rFonts w:eastAsia="仿宋_GB2312"/>
          <w:sz w:val="32"/>
          <w:szCs w:val="32"/>
        </w:rPr>
        <w:t>1</w:t>
      </w:r>
      <w:r w:rsidRPr="000D139A">
        <w:rPr>
          <w:rFonts w:eastAsia="仿宋_GB2312"/>
          <w:sz w:val="32"/>
          <w:szCs w:val="32"/>
        </w:rPr>
        <w:t>部分：加速老化试验指南</w:t>
      </w:r>
      <w:r w:rsidRPr="000D139A">
        <w:rPr>
          <w:rFonts w:eastAsia="仿宋_GB2312"/>
          <w:sz w:val="32"/>
          <w:szCs w:val="32"/>
        </w:rPr>
        <w:t>[S].</w:t>
      </w:r>
    </w:p>
    <w:p w:rsidR="000D139A" w:rsidRPr="000D139A" w:rsidRDefault="000D139A" w:rsidP="000D139A">
      <w:pPr>
        <w:adjustRightInd w:val="0"/>
        <w:snapToGrid w:val="0"/>
        <w:spacing w:line="560" w:lineRule="exact"/>
        <w:ind w:firstLineChars="200" w:firstLine="640"/>
        <w:rPr>
          <w:rFonts w:eastAsia="仿宋_GB2312"/>
          <w:sz w:val="32"/>
          <w:szCs w:val="32"/>
        </w:rPr>
      </w:pPr>
      <w:r w:rsidRPr="000D139A">
        <w:rPr>
          <w:rFonts w:eastAsia="仿宋_GB2312"/>
          <w:sz w:val="32"/>
          <w:szCs w:val="32"/>
        </w:rPr>
        <w:t>[19]</w:t>
      </w:r>
      <w:r w:rsidRPr="000D139A">
        <w:t xml:space="preserve"> </w:t>
      </w:r>
      <w:r w:rsidRPr="000D139A">
        <w:rPr>
          <w:rFonts w:eastAsia="仿宋_GB2312"/>
          <w:sz w:val="32"/>
          <w:szCs w:val="32"/>
        </w:rPr>
        <w:t>GB/T 42062</w:t>
      </w:r>
      <w:r w:rsidRPr="000D139A">
        <w:rPr>
          <w:rFonts w:eastAsia="仿宋_GB2312"/>
          <w:sz w:val="32"/>
          <w:szCs w:val="32"/>
        </w:rPr>
        <w:t>，医疗器械</w:t>
      </w:r>
      <w:r w:rsidRPr="000D139A">
        <w:rPr>
          <w:rFonts w:eastAsia="仿宋_GB2312"/>
          <w:sz w:val="32"/>
          <w:szCs w:val="32"/>
        </w:rPr>
        <w:t xml:space="preserve"> </w:t>
      </w:r>
      <w:r w:rsidRPr="000D139A">
        <w:rPr>
          <w:rFonts w:eastAsia="仿宋_GB2312"/>
          <w:sz w:val="32"/>
          <w:szCs w:val="32"/>
        </w:rPr>
        <w:t>风险管理对医疗器械的应用</w:t>
      </w:r>
      <w:r w:rsidRPr="000D139A">
        <w:rPr>
          <w:rFonts w:eastAsia="仿宋_GB2312"/>
          <w:sz w:val="32"/>
          <w:szCs w:val="32"/>
        </w:rPr>
        <w:t>[S].</w:t>
      </w:r>
    </w:p>
    <w:p w:rsidR="000D139A" w:rsidRPr="000D139A" w:rsidRDefault="000D139A" w:rsidP="000D139A">
      <w:pPr>
        <w:adjustRightInd w:val="0"/>
        <w:snapToGrid w:val="0"/>
        <w:spacing w:line="560" w:lineRule="exact"/>
        <w:ind w:firstLineChars="200" w:firstLine="640"/>
      </w:pPr>
      <w:r w:rsidRPr="000D139A">
        <w:rPr>
          <w:rFonts w:eastAsia="仿宋_GB2312"/>
          <w:sz w:val="32"/>
          <w:szCs w:val="32"/>
        </w:rPr>
        <w:t>[20]</w:t>
      </w:r>
      <w:r w:rsidRPr="000D139A">
        <w:rPr>
          <w:rFonts w:eastAsia="仿宋_GB2312"/>
          <w:bCs/>
          <w:spacing w:val="6"/>
          <w:sz w:val="32"/>
          <w:szCs w:val="32"/>
        </w:rPr>
        <w:t>原国家食品药品监督管理总局</w:t>
      </w:r>
      <w:r w:rsidRPr="000D139A">
        <w:rPr>
          <w:rFonts w:eastAsia="仿宋_GB2312"/>
          <w:bCs/>
          <w:spacing w:val="6"/>
          <w:sz w:val="32"/>
          <w:szCs w:val="32"/>
        </w:rPr>
        <w:t>.</w:t>
      </w:r>
      <w:r w:rsidRPr="000D139A">
        <w:rPr>
          <w:rFonts w:eastAsia="仿宋_GB2312"/>
          <w:bCs/>
          <w:spacing w:val="6"/>
          <w:sz w:val="32"/>
          <w:szCs w:val="32"/>
        </w:rPr>
        <w:t>医疗器械注册单元划分指导原则的通告：国家食品药品监督管理总局通告</w:t>
      </w:r>
      <w:r w:rsidRPr="000D139A">
        <w:rPr>
          <w:rFonts w:eastAsia="仿宋_GB2312"/>
          <w:bCs/>
          <w:spacing w:val="6"/>
          <w:sz w:val="32"/>
          <w:szCs w:val="32"/>
        </w:rPr>
        <w:t>2017</w:t>
      </w:r>
      <w:r w:rsidRPr="000D139A">
        <w:rPr>
          <w:rFonts w:eastAsia="仿宋_GB2312"/>
          <w:bCs/>
          <w:spacing w:val="6"/>
          <w:sz w:val="32"/>
          <w:szCs w:val="32"/>
        </w:rPr>
        <w:t>年第</w:t>
      </w:r>
      <w:r w:rsidRPr="000D139A">
        <w:rPr>
          <w:rFonts w:eastAsia="仿宋_GB2312"/>
          <w:bCs/>
          <w:spacing w:val="6"/>
          <w:sz w:val="32"/>
          <w:szCs w:val="32"/>
        </w:rPr>
        <w:t>187</w:t>
      </w:r>
      <w:r w:rsidRPr="000D139A">
        <w:rPr>
          <w:rFonts w:eastAsia="仿宋_GB2312"/>
          <w:bCs/>
          <w:spacing w:val="6"/>
          <w:sz w:val="32"/>
          <w:szCs w:val="32"/>
        </w:rPr>
        <w:t>号</w:t>
      </w:r>
      <w:r w:rsidRPr="000D139A">
        <w:rPr>
          <w:rFonts w:eastAsia="仿宋_GB2312"/>
          <w:bCs/>
          <w:spacing w:val="6"/>
          <w:sz w:val="32"/>
          <w:szCs w:val="32"/>
        </w:rPr>
        <w:t>[Z].</w:t>
      </w:r>
    </w:p>
    <w:p w:rsidR="00762F1C" w:rsidRPr="000D139A" w:rsidRDefault="00762F1C" w:rsidP="000D139A">
      <w:pPr>
        <w:snapToGrid w:val="0"/>
        <w:spacing w:line="560" w:lineRule="exact"/>
        <w:ind w:firstLineChars="200" w:firstLine="640"/>
        <w:rPr>
          <w:rFonts w:eastAsia="仿宋_GB2312"/>
          <w:sz w:val="32"/>
          <w:szCs w:val="32"/>
        </w:rPr>
      </w:pPr>
    </w:p>
    <w:p w:rsidR="00762F1C" w:rsidRPr="000D139A" w:rsidRDefault="00762F1C" w:rsidP="000D139A">
      <w:pPr>
        <w:spacing w:line="560" w:lineRule="exact"/>
        <w:ind w:firstLineChars="200" w:firstLine="640"/>
        <w:rPr>
          <w:rFonts w:eastAsia="仿宋_GB2312"/>
          <w:sz w:val="32"/>
          <w:szCs w:val="32"/>
        </w:rPr>
      </w:pPr>
    </w:p>
    <w:p w:rsidR="00AF37DC" w:rsidRPr="00B67A97" w:rsidRDefault="00AF37DC" w:rsidP="00B67A97">
      <w:pPr>
        <w:spacing w:line="440" w:lineRule="exact"/>
        <w:ind w:rightChars="-95" w:right="-199"/>
        <w:rPr>
          <w:rFonts w:eastAsia="仿宋_GB2312"/>
          <w:color w:val="000000"/>
          <w:sz w:val="28"/>
          <w:szCs w:val="20"/>
        </w:rPr>
      </w:pPr>
      <w:bookmarkStart w:id="3" w:name="_GoBack"/>
      <w:bookmarkEnd w:id="3"/>
    </w:p>
    <w:sectPr w:rsidR="00AF37DC" w:rsidRPr="00B67A97" w:rsidSect="0060713A">
      <w:headerReference w:type="even" r:id="rId8"/>
      <w:headerReference w:type="default" r:id="rId9"/>
      <w:footerReference w:type="even" r:id="rId10"/>
      <w:footerReference w:type="default" r:id="rId11"/>
      <w:pgSz w:w="11906" w:h="16838"/>
      <w:pgMar w:top="1701" w:right="1588" w:bottom="1701" w:left="1588" w:header="851" w:footer="1191" w:gutter="0"/>
      <w:pgNumType w:start="1" w:chapStyle="1" w:chapSep="em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DA4" w:rsidRDefault="00B51DA4" w:rsidP="003079E8">
      <w:r>
        <w:separator/>
      </w:r>
    </w:p>
  </w:endnote>
  <w:endnote w:type="continuationSeparator" w:id="0">
    <w:p w:rsidR="00B51DA4" w:rsidRDefault="00B51DA4" w:rsidP="0030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dobe 仿宋 Std R">
    <w:altName w:val="仿宋"/>
    <w:charset w:val="86"/>
    <w:family w:val="roman"/>
    <w:pitch w:val="default"/>
    <w:sig w:usb0="00000001" w:usb1="0A0F1810" w:usb2="00000016" w:usb3="00000000" w:csb0="00060007" w:csb1="00000000"/>
  </w:font>
  <w:font w:name="Arial Unicode MS">
    <w:panose1 w:val="020B0604020202020204"/>
    <w:charset w:val="00"/>
    <w:family w:val="roman"/>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88F" w:rsidRPr="00B61E5F" w:rsidRDefault="00B51DA4" w:rsidP="00B61E5F">
    <w:pPr>
      <w:pStyle w:val="a5"/>
      <w:numPr>
        <w:ilvl w:val="0"/>
        <w:numId w:val="16"/>
      </w:numPr>
      <w:rPr>
        <w:rFonts w:ascii="Times New Roman" w:hAnsi="Times New Roman" w:cs="Times New Roman"/>
        <w:sz w:val="28"/>
        <w:szCs w:val="28"/>
      </w:rPr>
    </w:pPr>
    <w:sdt>
      <w:sdtPr>
        <w:id w:val="237143137"/>
        <w:docPartObj>
          <w:docPartGallery w:val="Page Numbers (Bottom of Page)"/>
          <w:docPartUnique/>
        </w:docPartObj>
      </w:sdtPr>
      <w:sdtEndPr>
        <w:rPr>
          <w:rFonts w:ascii="Times New Roman" w:hAnsi="Times New Roman" w:cs="Times New Roman"/>
          <w:sz w:val="28"/>
          <w:szCs w:val="28"/>
        </w:rPr>
      </w:sdtEndPr>
      <w:sdtContent>
        <w:r w:rsidR="001A4F78" w:rsidRPr="001A4F78">
          <w:rPr>
            <w:rFonts w:ascii="Times New Roman" w:hAnsi="Times New Roman" w:cs="Times New Roman"/>
            <w:sz w:val="28"/>
            <w:szCs w:val="28"/>
          </w:rPr>
          <w:fldChar w:fldCharType="begin"/>
        </w:r>
        <w:r w:rsidR="001A4F78" w:rsidRPr="001A4F78">
          <w:rPr>
            <w:rFonts w:ascii="Times New Roman" w:hAnsi="Times New Roman" w:cs="Times New Roman"/>
            <w:sz w:val="28"/>
            <w:szCs w:val="28"/>
          </w:rPr>
          <w:instrText>PAGE   \* MERGEFORMAT</w:instrText>
        </w:r>
        <w:r w:rsidR="001A4F78" w:rsidRPr="001A4F78">
          <w:rPr>
            <w:rFonts w:ascii="Times New Roman" w:hAnsi="Times New Roman" w:cs="Times New Roman"/>
            <w:sz w:val="28"/>
            <w:szCs w:val="28"/>
          </w:rPr>
          <w:fldChar w:fldCharType="separate"/>
        </w:r>
        <w:r w:rsidR="00B67A97" w:rsidRPr="00B67A97">
          <w:rPr>
            <w:rFonts w:ascii="Times New Roman" w:hAnsi="Times New Roman" w:cs="Times New Roman"/>
            <w:noProof/>
            <w:sz w:val="28"/>
            <w:szCs w:val="28"/>
            <w:lang w:val="zh-CN"/>
          </w:rPr>
          <w:t>16</w:t>
        </w:r>
        <w:r w:rsidR="001A4F78" w:rsidRPr="001A4F78">
          <w:rPr>
            <w:rFonts w:ascii="Times New Roman" w:hAnsi="Times New Roman" w:cs="Times New Roman"/>
            <w:sz w:val="28"/>
            <w:szCs w:val="28"/>
          </w:rPr>
          <w:fldChar w:fldCharType="end"/>
        </w:r>
        <w:r w:rsidR="001A4F78" w:rsidRPr="001A4F78">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54091"/>
      <w:docPartObj>
        <w:docPartGallery w:val="Page Numbers (Bottom of Page)"/>
        <w:docPartUnique/>
      </w:docPartObj>
    </w:sdtPr>
    <w:sdtEndPr>
      <w:rPr>
        <w:rFonts w:ascii="Times New Roman" w:hAnsi="Times New Roman" w:cs="Times New Roman"/>
        <w:sz w:val="28"/>
        <w:szCs w:val="28"/>
      </w:rPr>
    </w:sdtEndPr>
    <w:sdtContent>
      <w:p w:rsidR="0078788F" w:rsidRPr="00B61E5F" w:rsidRDefault="001A4F78" w:rsidP="00B61E5F">
        <w:pPr>
          <w:pStyle w:val="a5"/>
          <w:numPr>
            <w:ilvl w:val="0"/>
            <w:numId w:val="19"/>
          </w:numPr>
          <w:jc w:val="right"/>
          <w:rPr>
            <w:rFonts w:ascii="Times New Roman" w:hAnsi="Times New Roman" w:cs="Times New Roman"/>
            <w:sz w:val="28"/>
            <w:szCs w:val="28"/>
          </w:rPr>
        </w:pPr>
        <w:r w:rsidRPr="001A4F78">
          <w:rPr>
            <w:rFonts w:ascii="Times New Roman" w:hAnsi="Times New Roman" w:cs="Times New Roman"/>
            <w:sz w:val="28"/>
            <w:szCs w:val="28"/>
          </w:rPr>
          <w:fldChar w:fldCharType="begin"/>
        </w:r>
        <w:r w:rsidRPr="001A4F78">
          <w:rPr>
            <w:rFonts w:ascii="Times New Roman" w:hAnsi="Times New Roman" w:cs="Times New Roman"/>
            <w:sz w:val="28"/>
            <w:szCs w:val="28"/>
          </w:rPr>
          <w:instrText>PAGE   \* MERGEFORMAT</w:instrText>
        </w:r>
        <w:r w:rsidRPr="001A4F78">
          <w:rPr>
            <w:rFonts w:ascii="Times New Roman" w:hAnsi="Times New Roman" w:cs="Times New Roman"/>
            <w:sz w:val="28"/>
            <w:szCs w:val="28"/>
          </w:rPr>
          <w:fldChar w:fldCharType="separate"/>
        </w:r>
        <w:r w:rsidR="00B67A97" w:rsidRPr="00B67A97">
          <w:rPr>
            <w:rFonts w:ascii="Times New Roman" w:hAnsi="Times New Roman" w:cs="Times New Roman"/>
            <w:noProof/>
            <w:sz w:val="28"/>
            <w:szCs w:val="28"/>
            <w:lang w:val="zh-CN"/>
          </w:rPr>
          <w:t>17</w:t>
        </w:r>
        <w:r w:rsidRPr="001A4F78">
          <w:rPr>
            <w:rFonts w:ascii="Times New Roman" w:hAnsi="Times New Roman" w:cs="Times New Roman"/>
            <w:sz w:val="28"/>
            <w:szCs w:val="28"/>
          </w:rPr>
          <w:fldChar w:fldCharType="end"/>
        </w:r>
        <w:r w:rsidRPr="001A4F78">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DA4" w:rsidRDefault="00B51DA4" w:rsidP="003079E8">
      <w:r>
        <w:separator/>
      </w:r>
    </w:p>
  </w:footnote>
  <w:footnote w:type="continuationSeparator" w:id="0">
    <w:p w:rsidR="00B51DA4" w:rsidRDefault="00B51DA4" w:rsidP="0030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Default="00B52670" w:rsidP="00134ED0">
    <w:pPr>
      <w:pStyle w:val="a3"/>
      <w:pBdr>
        <w:bottom w:val="none" w:sz="0" w:space="0" w:color="auto"/>
      </w:pBdr>
    </w:pPr>
  </w:p>
  <w:p w:rsidR="0078788F" w:rsidRDefault="0078788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Pr="00D96564" w:rsidRDefault="00B52670" w:rsidP="00134ED0">
    <w:pPr>
      <w:pStyle w:val="a3"/>
      <w:pBdr>
        <w:bottom w:val="none" w:sz="0" w:space="0" w:color="auto"/>
      </w:pBdr>
      <w:rPr>
        <w:rFonts w:ascii="Times New Roman" w:hAnsi="Times New Roman" w:cs="Times New Roman"/>
        <w:sz w:val="28"/>
        <w:szCs w:val="28"/>
      </w:rPr>
    </w:pPr>
  </w:p>
  <w:p w:rsidR="0078788F" w:rsidRDefault="0078788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7BEA"/>
    <w:multiLevelType w:val="hybridMultilevel"/>
    <w:tmpl w:val="29C6E3D6"/>
    <w:lvl w:ilvl="0" w:tplc="02F4B40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4901CF8"/>
    <w:multiLevelType w:val="multilevel"/>
    <w:tmpl w:val="14901CF8"/>
    <w:lvl w:ilvl="0">
      <w:start w:val="1"/>
      <w:numFmt w:val="decimal"/>
      <w:lvlText w:val="%1．"/>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2A00A7"/>
    <w:multiLevelType w:val="hybridMultilevel"/>
    <w:tmpl w:val="2B4EAB08"/>
    <w:lvl w:ilvl="0" w:tplc="EAF09A8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4" w15:restartNumberingAfterBreak="0">
    <w:nsid w:val="20343560"/>
    <w:multiLevelType w:val="multilevel"/>
    <w:tmpl w:val="20343560"/>
    <w:lvl w:ilvl="0">
      <w:start w:val="1"/>
      <w:numFmt w:val="bullet"/>
      <w:lvlText w:val=""/>
      <w:lvlJc w:val="left"/>
      <w:pPr>
        <w:ind w:left="1260" w:hanging="420"/>
      </w:pPr>
      <w:rPr>
        <w:rFonts w:ascii="Wingdings 2" w:eastAsia="方正小标宋简体" w:hAnsi="Wingdings 2" w:hint="default"/>
        <w:color w:val="000000"/>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 w15:restartNumberingAfterBreak="0">
    <w:nsid w:val="257E1BB0"/>
    <w:multiLevelType w:val="multilevel"/>
    <w:tmpl w:val="257E1BB0"/>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2AAC3D6E"/>
    <w:multiLevelType w:val="hybridMultilevel"/>
    <w:tmpl w:val="13F4DE32"/>
    <w:lvl w:ilvl="0" w:tplc="BE5A2AFA">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3E5064"/>
    <w:multiLevelType w:val="hybridMultilevel"/>
    <w:tmpl w:val="FE6E7C9E"/>
    <w:lvl w:ilvl="0" w:tplc="17FA2D84">
      <w:start w:val="8"/>
      <w:numFmt w:val="bullet"/>
      <w:lvlText w:val="—"/>
      <w:lvlJc w:val="left"/>
      <w:pPr>
        <w:ind w:left="360" w:hanging="360"/>
      </w:pPr>
      <w:rPr>
        <w:rFonts w:ascii="Times New Roman" w:eastAsia="等线"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CC1BE4"/>
    <w:multiLevelType w:val="multilevel"/>
    <w:tmpl w:val="35CC1BE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6336573"/>
    <w:multiLevelType w:val="hybridMultilevel"/>
    <w:tmpl w:val="9E604E68"/>
    <w:lvl w:ilvl="0" w:tplc="FE84C412">
      <w:numFmt w:val="bullet"/>
      <w:lvlText w:val="—"/>
      <w:lvlJc w:val="left"/>
      <w:pPr>
        <w:ind w:left="360" w:hanging="360"/>
      </w:pPr>
      <w:rPr>
        <w:rFonts w:ascii="宋体" w:eastAsia="宋体" w:hAnsi="宋体" w:cs="Times New Roman" w:hint="eastAsia"/>
        <w:color w:val="FFFFFF"/>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96C00AF"/>
    <w:multiLevelType w:val="multilevel"/>
    <w:tmpl w:val="496C00AF"/>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1" w15:restartNumberingAfterBreak="0">
    <w:nsid w:val="51240AD4"/>
    <w:multiLevelType w:val="hybridMultilevel"/>
    <w:tmpl w:val="8B3E3080"/>
    <w:lvl w:ilvl="0" w:tplc="1BA8612E">
      <w:start w:val="1"/>
      <w:numFmt w:val="decimal"/>
      <w:lvlText w:val="%1."/>
      <w:lvlJc w:val="left"/>
      <w:pPr>
        <w:ind w:left="1000" w:hanging="360"/>
      </w:pPr>
      <w:rPr>
        <w:rFonts w:ascii="Times New Roman" w:hAnsi="Times New Roman"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530EF510"/>
    <w:multiLevelType w:val="singleLevel"/>
    <w:tmpl w:val="530EF510"/>
    <w:lvl w:ilvl="0">
      <w:start w:val="2"/>
      <w:numFmt w:val="decimal"/>
      <w:suff w:val="nothing"/>
      <w:lvlText w:val="%1."/>
      <w:lvlJc w:val="left"/>
    </w:lvl>
  </w:abstractNum>
  <w:abstractNum w:abstractNumId="13" w15:restartNumberingAfterBreak="0">
    <w:nsid w:val="531833DE"/>
    <w:multiLevelType w:val="singleLevel"/>
    <w:tmpl w:val="531833DE"/>
    <w:lvl w:ilvl="0">
      <w:start w:val="7"/>
      <w:numFmt w:val="decimal"/>
      <w:suff w:val="nothing"/>
      <w:lvlText w:val="%1."/>
      <w:lvlJc w:val="left"/>
    </w:lvl>
  </w:abstractNum>
  <w:abstractNum w:abstractNumId="14" w15:restartNumberingAfterBreak="0">
    <w:nsid w:val="5ADA3302"/>
    <w:multiLevelType w:val="hybridMultilevel"/>
    <w:tmpl w:val="2DF44F5E"/>
    <w:lvl w:ilvl="0" w:tplc="5F06C8C6">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11E5EAE"/>
    <w:multiLevelType w:val="multilevel"/>
    <w:tmpl w:val="711E5EA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15:restartNumberingAfterBreak="0">
    <w:nsid w:val="7F662D84"/>
    <w:multiLevelType w:val="singleLevel"/>
    <w:tmpl w:val="7F662D84"/>
    <w:lvl w:ilvl="0">
      <w:start w:val="10"/>
      <w:numFmt w:val="decimal"/>
      <w:lvlText w:val="%1."/>
      <w:lvlJc w:val="left"/>
      <w:pPr>
        <w:tabs>
          <w:tab w:val="left" w:pos="312"/>
        </w:tabs>
      </w:pPr>
    </w:lvl>
  </w:abstractNum>
  <w:abstractNum w:abstractNumId="17" w15:restartNumberingAfterBreak="0">
    <w:nsid w:val="7F8C7A35"/>
    <w:multiLevelType w:val="multilevel"/>
    <w:tmpl w:val="7F8C7A35"/>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7"/>
  </w:num>
  <w:num w:numId="2">
    <w:abstractNumId w:val="15"/>
  </w:num>
  <w:num w:numId="3">
    <w:abstractNumId w:val="3"/>
  </w:num>
  <w:num w:numId="4">
    <w:abstractNumId w:val="16"/>
  </w:num>
  <w:num w:numId="5">
    <w:abstractNumId w:val="13"/>
  </w:num>
  <w:num w:numId="6">
    <w:abstractNumId w:val="12"/>
  </w:num>
  <w:num w:numId="7">
    <w:abstractNumId w:val="5"/>
  </w:num>
  <w:num w:numId="8">
    <w:abstractNumId w:val="14"/>
  </w:num>
  <w:num w:numId="9">
    <w:abstractNumId w:val="6"/>
  </w:num>
  <w:num w:numId="10">
    <w:abstractNumId w:val="8"/>
  </w:num>
  <w:num w:numId="11">
    <w:abstractNumId w:val="4"/>
  </w:num>
  <w:num w:numId="12">
    <w:abstractNumId w:val="0"/>
  </w:num>
  <w:num w:numId="13">
    <w:abstractNumId w:val="11"/>
  </w:num>
  <w:num w:numId="14">
    <w:abstractNumId w:val="9"/>
  </w:num>
  <w:num w:numId="15">
    <w:abstractNumId w:val="10"/>
  </w:num>
  <w:num w:numId="16">
    <w:abstractNumId w:val="2"/>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23"/>
    <w:rsid w:val="00002AAD"/>
    <w:rsid w:val="000146D7"/>
    <w:rsid w:val="000329DA"/>
    <w:rsid w:val="000A63C1"/>
    <w:rsid w:val="000D139A"/>
    <w:rsid w:val="000D32E0"/>
    <w:rsid w:val="000D4E34"/>
    <w:rsid w:val="000F2D99"/>
    <w:rsid w:val="00106A9D"/>
    <w:rsid w:val="00114E64"/>
    <w:rsid w:val="00122FBD"/>
    <w:rsid w:val="00134ED0"/>
    <w:rsid w:val="00137012"/>
    <w:rsid w:val="00141273"/>
    <w:rsid w:val="00150E66"/>
    <w:rsid w:val="00151932"/>
    <w:rsid w:val="00184973"/>
    <w:rsid w:val="00191F7A"/>
    <w:rsid w:val="001A4F78"/>
    <w:rsid w:val="001A70F6"/>
    <w:rsid w:val="001B78C4"/>
    <w:rsid w:val="001C4F2E"/>
    <w:rsid w:val="001D11D9"/>
    <w:rsid w:val="001D1A12"/>
    <w:rsid w:val="001F0DF0"/>
    <w:rsid w:val="001F1046"/>
    <w:rsid w:val="00201F93"/>
    <w:rsid w:val="002062EA"/>
    <w:rsid w:val="00217E23"/>
    <w:rsid w:val="00217F03"/>
    <w:rsid w:val="00222BB7"/>
    <w:rsid w:val="00230AE5"/>
    <w:rsid w:val="00244D02"/>
    <w:rsid w:val="00252B40"/>
    <w:rsid w:val="002548F3"/>
    <w:rsid w:val="00294F3C"/>
    <w:rsid w:val="00295409"/>
    <w:rsid w:val="00295F3E"/>
    <w:rsid w:val="002B2CA7"/>
    <w:rsid w:val="002D5575"/>
    <w:rsid w:val="002F062A"/>
    <w:rsid w:val="002F557C"/>
    <w:rsid w:val="003079E8"/>
    <w:rsid w:val="003100D4"/>
    <w:rsid w:val="003438E9"/>
    <w:rsid w:val="0035732D"/>
    <w:rsid w:val="0036717C"/>
    <w:rsid w:val="003832CA"/>
    <w:rsid w:val="00386FA0"/>
    <w:rsid w:val="00390CE2"/>
    <w:rsid w:val="00393EFB"/>
    <w:rsid w:val="003953C8"/>
    <w:rsid w:val="003B7510"/>
    <w:rsid w:val="003F0E18"/>
    <w:rsid w:val="004067A3"/>
    <w:rsid w:val="00412EF1"/>
    <w:rsid w:val="004150EE"/>
    <w:rsid w:val="0041585F"/>
    <w:rsid w:val="00417976"/>
    <w:rsid w:val="004214A4"/>
    <w:rsid w:val="004246F2"/>
    <w:rsid w:val="00436D1B"/>
    <w:rsid w:val="004627AE"/>
    <w:rsid w:val="00480C25"/>
    <w:rsid w:val="00482972"/>
    <w:rsid w:val="00483ECD"/>
    <w:rsid w:val="004871DF"/>
    <w:rsid w:val="00494D22"/>
    <w:rsid w:val="004A31E1"/>
    <w:rsid w:val="004A429D"/>
    <w:rsid w:val="004B1017"/>
    <w:rsid w:val="004F2884"/>
    <w:rsid w:val="004F486F"/>
    <w:rsid w:val="005040E6"/>
    <w:rsid w:val="00507CB6"/>
    <w:rsid w:val="00510DB3"/>
    <w:rsid w:val="00580051"/>
    <w:rsid w:val="005C6177"/>
    <w:rsid w:val="005D5360"/>
    <w:rsid w:val="005D5874"/>
    <w:rsid w:val="005D71E7"/>
    <w:rsid w:val="0060513F"/>
    <w:rsid w:val="0060713A"/>
    <w:rsid w:val="00615B40"/>
    <w:rsid w:val="0061625D"/>
    <w:rsid w:val="00616661"/>
    <w:rsid w:val="00617194"/>
    <w:rsid w:val="006200A5"/>
    <w:rsid w:val="0063084F"/>
    <w:rsid w:val="00631AA9"/>
    <w:rsid w:val="00635BFE"/>
    <w:rsid w:val="006376F5"/>
    <w:rsid w:val="00640B84"/>
    <w:rsid w:val="00641D70"/>
    <w:rsid w:val="006515C5"/>
    <w:rsid w:val="00651DCB"/>
    <w:rsid w:val="00664817"/>
    <w:rsid w:val="0066775D"/>
    <w:rsid w:val="00690E61"/>
    <w:rsid w:val="006C0F4B"/>
    <w:rsid w:val="006E697B"/>
    <w:rsid w:val="00710650"/>
    <w:rsid w:val="007459D2"/>
    <w:rsid w:val="00745B62"/>
    <w:rsid w:val="00762F1C"/>
    <w:rsid w:val="0078788F"/>
    <w:rsid w:val="0079267F"/>
    <w:rsid w:val="007A5573"/>
    <w:rsid w:val="007A7B0C"/>
    <w:rsid w:val="007B226A"/>
    <w:rsid w:val="007C22B0"/>
    <w:rsid w:val="007E6720"/>
    <w:rsid w:val="00803E88"/>
    <w:rsid w:val="00807022"/>
    <w:rsid w:val="00814D41"/>
    <w:rsid w:val="00821123"/>
    <w:rsid w:val="00822C26"/>
    <w:rsid w:val="00822C68"/>
    <w:rsid w:val="00827ED2"/>
    <w:rsid w:val="00831214"/>
    <w:rsid w:val="00844620"/>
    <w:rsid w:val="00857E8D"/>
    <w:rsid w:val="00860D78"/>
    <w:rsid w:val="00866BF0"/>
    <w:rsid w:val="00875AE8"/>
    <w:rsid w:val="00894CA1"/>
    <w:rsid w:val="008A50D5"/>
    <w:rsid w:val="008A7314"/>
    <w:rsid w:val="008C7889"/>
    <w:rsid w:val="008D589E"/>
    <w:rsid w:val="008E64B6"/>
    <w:rsid w:val="009061D8"/>
    <w:rsid w:val="00962F71"/>
    <w:rsid w:val="00985E9C"/>
    <w:rsid w:val="0099578F"/>
    <w:rsid w:val="009C0679"/>
    <w:rsid w:val="009C7F29"/>
    <w:rsid w:val="009D2C2D"/>
    <w:rsid w:val="009D751B"/>
    <w:rsid w:val="009E0C86"/>
    <w:rsid w:val="009F46C1"/>
    <w:rsid w:val="00A16C43"/>
    <w:rsid w:val="00A21DA8"/>
    <w:rsid w:val="00A346B7"/>
    <w:rsid w:val="00A650B1"/>
    <w:rsid w:val="00A81F0C"/>
    <w:rsid w:val="00AA7E86"/>
    <w:rsid w:val="00AF37DC"/>
    <w:rsid w:val="00B2671F"/>
    <w:rsid w:val="00B2724F"/>
    <w:rsid w:val="00B27B9C"/>
    <w:rsid w:val="00B35B77"/>
    <w:rsid w:val="00B51DA4"/>
    <w:rsid w:val="00B52670"/>
    <w:rsid w:val="00B539BD"/>
    <w:rsid w:val="00B61E5F"/>
    <w:rsid w:val="00B67A97"/>
    <w:rsid w:val="00B7255B"/>
    <w:rsid w:val="00BB26D7"/>
    <w:rsid w:val="00BD3433"/>
    <w:rsid w:val="00BD5BB8"/>
    <w:rsid w:val="00BE6AAA"/>
    <w:rsid w:val="00BF33A6"/>
    <w:rsid w:val="00C10FD2"/>
    <w:rsid w:val="00C25443"/>
    <w:rsid w:val="00C421D8"/>
    <w:rsid w:val="00C77C14"/>
    <w:rsid w:val="00CA15D0"/>
    <w:rsid w:val="00CB40F3"/>
    <w:rsid w:val="00CC15CF"/>
    <w:rsid w:val="00CC7810"/>
    <w:rsid w:val="00CD7359"/>
    <w:rsid w:val="00CE7716"/>
    <w:rsid w:val="00CF3E07"/>
    <w:rsid w:val="00D0654B"/>
    <w:rsid w:val="00D2114A"/>
    <w:rsid w:val="00D22218"/>
    <w:rsid w:val="00D31360"/>
    <w:rsid w:val="00D364F7"/>
    <w:rsid w:val="00D57B53"/>
    <w:rsid w:val="00D9244F"/>
    <w:rsid w:val="00D941BF"/>
    <w:rsid w:val="00D96564"/>
    <w:rsid w:val="00DA3197"/>
    <w:rsid w:val="00DB285C"/>
    <w:rsid w:val="00DB63E0"/>
    <w:rsid w:val="00DC2A13"/>
    <w:rsid w:val="00DE4529"/>
    <w:rsid w:val="00DF1104"/>
    <w:rsid w:val="00DF487B"/>
    <w:rsid w:val="00DF6A15"/>
    <w:rsid w:val="00E1589F"/>
    <w:rsid w:val="00E2148D"/>
    <w:rsid w:val="00E42413"/>
    <w:rsid w:val="00E84CB3"/>
    <w:rsid w:val="00E917E5"/>
    <w:rsid w:val="00EC5105"/>
    <w:rsid w:val="00F017EC"/>
    <w:rsid w:val="00F1084F"/>
    <w:rsid w:val="00F30FB1"/>
    <w:rsid w:val="00F31C51"/>
    <w:rsid w:val="00F32980"/>
    <w:rsid w:val="00F44E8C"/>
    <w:rsid w:val="00F82827"/>
    <w:rsid w:val="00F83687"/>
    <w:rsid w:val="00F83D79"/>
    <w:rsid w:val="00F91F4F"/>
    <w:rsid w:val="00FA53B8"/>
    <w:rsid w:val="00FA576D"/>
    <w:rsid w:val="00FE498C"/>
    <w:rsid w:val="00FE4E41"/>
    <w:rsid w:val="00FF31AA"/>
    <w:rsid w:val="00FF6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790B1"/>
  <w15:chartTrackingRefBased/>
  <w15:docId w15:val="{CE99FC34-19A3-4001-AFFF-AB8E6C53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9E8"/>
    <w:pPr>
      <w:widowControl w:val="0"/>
      <w:jc w:val="both"/>
    </w:pPr>
    <w:rPr>
      <w:rFonts w:ascii="Times New Roman" w:eastAsia="宋体" w:hAnsi="Times New Roman" w:cs="Times New Roman"/>
      <w:szCs w:val="24"/>
    </w:rPr>
  </w:style>
  <w:style w:type="paragraph" w:styleId="1">
    <w:name w:val="heading 1"/>
    <w:basedOn w:val="a"/>
    <w:next w:val="a"/>
    <w:link w:val="10"/>
    <w:autoRedefine/>
    <w:qFormat/>
    <w:rsid w:val="002F557C"/>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nhideWhenUsed/>
    <w:qFormat/>
    <w:rsid w:val="002F557C"/>
    <w:pPr>
      <w:keepNext/>
      <w:keepLines/>
      <w:spacing w:line="360" w:lineRule="auto"/>
      <w:ind w:firstLineChars="200" w:firstLine="200"/>
      <w:outlineLvl w:val="1"/>
    </w:pPr>
    <w:rPr>
      <w:rFonts w:asciiTheme="majorHAnsi" w:eastAsia="黑体" w:hAnsiTheme="majorHAnsi" w:cstheme="majorBidi"/>
      <w:bCs/>
      <w:sz w:val="32"/>
      <w:szCs w:val="32"/>
    </w:rPr>
  </w:style>
  <w:style w:type="paragraph" w:styleId="3">
    <w:name w:val="heading 3"/>
    <w:basedOn w:val="a"/>
    <w:next w:val="a"/>
    <w:link w:val="30"/>
    <w:qFormat/>
    <w:rsid w:val="00D2114A"/>
    <w:pPr>
      <w:keepNext/>
      <w:keepLines/>
      <w:spacing w:before="260" w:after="260" w:line="416" w:lineRule="auto"/>
      <w:outlineLvl w:val="2"/>
    </w:pPr>
    <w:rPr>
      <w:b/>
      <w:bCs/>
      <w:sz w:val="32"/>
      <w:szCs w:val="32"/>
    </w:rPr>
  </w:style>
  <w:style w:type="paragraph" w:styleId="4">
    <w:name w:val="heading 4"/>
    <w:basedOn w:val="a"/>
    <w:next w:val="a"/>
    <w:link w:val="40"/>
    <w:qFormat/>
    <w:rsid w:val="00D2114A"/>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0"/>
    <w:qFormat/>
    <w:rsid w:val="00D2114A"/>
    <w:pPr>
      <w:keepNext/>
      <w:keepLines/>
      <w:spacing w:before="280" w:after="290" w:line="376" w:lineRule="auto"/>
      <w:outlineLvl w:val="4"/>
    </w:pPr>
    <w:rPr>
      <w:b/>
      <w:bCs/>
      <w:sz w:val="28"/>
      <w:szCs w:val="28"/>
    </w:rPr>
  </w:style>
  <w:style w:type="paragraph" w:styleId="6">
    <w:name w:val="heading 6"/>
    <w:basedOn w:val="a"/>
    <w:next w:val="a"/>
    <w:link w:val="60"/>
    <w:qFormat/>
    <w:rsid w:val="00D2114A"/>
    <w:pPr>
      <w:keepNext/>
      <w:keepLines/>
      <w:spacing w:before="240" w:after="64" w:line="320" w:lineRule="auto"/>
      <w:outlineLvl w:val="5"/>
    </w:pPr>
    <w:rPr>
      <w:rFonts w:ascii="Calibri Light" w:hAnsi="Calibri Light"/>
      <w:b/>
      <w:bCs/>
      <w:sz w:val="24"/>
    </w:rPr>
  </w:style>
  <w:style w:type="paragraph" w:styleId="7">
    <w:name w:val="heading 7"/>
    <w:basedOn w:val="a"/>
    <w:next w:val="a"/>
    <w:link w:val="70"/>
    <w:qFormat/>
    <w:rsid w:val="00D2114A"/>
    <w:pPr>
      <w:keepNext/>
      <w:keepLines/>
      <w:spacing w:before="240" w:after="64" w:line="320" w:lineRule="auto"/>
      <w:outlineLvl w:val="6"/>
    </w:pPr>
    <w:rPr>
      <w:b/>
      <w:bCs/>
      <w:sz w:val="24"/>
    </w:rPr>
  </w:style>
  <w:style w:type="paragraph" w:styleId="8">
    <w:name w:val="heading 8"/>
    <w:basedOn w:val="a"/>
    <w:next w:val="a"/>
    <w:link w:val="80"/>
    <w:qFormat/>
    <w:rsid w:val="00D2114A"/>
    <w:pPr>
      <w:keepNext/>
      <w:keepLines/>
      <w:spacing w:before="240" w:after="64" w:line="320" w:lineRule="auto"/>
      <w:outlineLvl w:val="7"/>
    </w:pPr>
    <w:rPr>
      <w:rFonts w:ascii="Calibri Light" w:hAnsi="Calibri Light"/>
      <w:sz w:val="24"/>
    </w:rPr>
  </w:style>
  <w:style w:type="paragraph" w:styleId="9">
    <w:name w:val="heading 9"/>
    <w:basedOn w:val="a"/>
    <w:next w:val="a"/>
    <w:link w:val="90"/>
    <w:unhideWhenUsed/>
    <w:qFormat/>
    <w:rsid w:val="00D2114A"/>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F557C"/>
    <w:rPr>
      <w:b/>
      <w:bCs/>
      <w:kern w:val="44"/>
      <w:sz w:val="44"/>
      <w:szCs w:val="44"/>
    </w:rPr>
  </w:style>
  <w:style w:type="character" w:customStyle="1" w:styleId="20">
    <w:name w:val="标题 2 字符"/>
    <w:basedOn w:val="a0"/>
    <w:link w:val="2"/>
    <w:qFormat/>
    <w:rsid w:val="002F557C"/>
    <w:rPr>
      <w:rFonts w:asciiTheme="majorHAnsi" w:eastAsia="黑体" w:hAnsiTheme="majorHAnsi" w:cstheme="majorBidi"/>
      <w:bCs/>
      <w:sz w:val="32"/>
      <w:szCs w:val="32"/>
    </w:rPr>
  </w:style>
  <w:style w:type="character" w:customStyle="1" w:styleId="30">
    <w:name w:val="标题 3 字符"/>
    <w:basedOn w:val="a0"/>
    <w:link w:val="3"/>
    <w:qFormat/>
    <w:rsid w:val="00D2114A"/>
    <w:rPr>
      <w:rFonts w:ascii="Times New Roman" w:eastAsia="宋体" w:hAnsi="Times New Roman" w:cs="Times New Roman"/>
      <w:b/>
      <w:bCs/>
      <w:sz w:val="32"/>
      <w:szCs w:val="32"/>
    </w:rPr>
  </w:style>
  <w:style w:type="character" w:customStyle="1" w:styleId="40">
    <w:name w:val="标题 4 字符"/>
    <w:basedOn w:val="a0"/>
    <w:link w:val="4"/>
    <w:rsid w:val="00D2114A"/>
    <w:rPr>
      <w:rFonts w:ascii="Calibri Light" w:eastAsia="宋体" w:hAnsi="Calibri Light" w:cs="Times New Roman"/>
      <w:b/>
      <w:bCs/>
      <w:sz w:val="28"/>
      <w:szCs w:val="28"/>
    </w:rPr>
  </w:style>
  <w:style w:type="character" w:customStyle="1" w:styleId="50">
    <w:name w:val="标题 5 字符"/>
    <w:basedOn w:val="a0"/>
    <w:link w:val="5"/>
    <w:rsid w:val="00D2114A"/>
    <w:rPr>
      <w:rFonts w:ascii="Times New Roman" w:eastAsia="宋体" w:hAnsi="Times New Roman" w:cs="Times New Roman"/>
      <w:b/>
      <w:bCs/>
      <w:sz w:val="28"/>
      <w:szCs w:val="28"/>
    </w:rPr>
  </w:style>
  <w:style w:type="character" w:customStyle="1" w:styleId="60">
    <w:name w:val="标题 6 字符"/>
    <w:basedOn w:val="a0"/>
    <w:link w:val="6"/>
    <w:qFormat/>
    <w:rsid w:val="00D2114A"/>
    <w:rPr>
      <w:rFonts w:ascii="Calibri Light" w:eastAsia="宋体" w:hAnsi="Calibri Light" w:cs="Times New Roman"/>
      <w:b/>
      <w:bCs/>
      <w:sz w:val="24"/>
      <w:szCs w:val="24"/>
    </w:rPr>
  </w:style>
  <w:style w:type="character" w:customStyle="1" w:styleId="70">
    <w:name w:val="标题 7 字符"/>
    <w:basedOn w:val="a0"/>
    <w:link w:val="7"/>
    <w:qFormat/>
    <w:rsid w:val="00D2114A"/>
    <w:rPr>
      <w:rFonts w:ascii="Times New Roman" w:eastAsia="宋体" w:hAnsi="Times New Roman" w:cs="Times New Roman"/>
      <w:b/>
      <w:bCs/>
      <w:sz w:val="24"/>
      <w:szCs w:val="24"/>
    </w:rPr>
  </w:style>
  <w:style w:type="character" w:customStyle="1" w:styleId="80">
    <w:name w:val="标题 8 字符"/>
    <w:basedOn w:val="a0"/>
    <w:link w:val="8"/>
    <w:qFormat/>
    <w:rsid w:val="00D2114A"/>
    <w:rPr>
      <w:rFonts w:ascii="Calibri Light" w:eastAsia="宋体" w:hAnsi="Calibri Light" w:cs="Times New Roman"/>
      <w:sz w:val="24"/>
      <w:szCs w:val="24"/>
    </w:rPr>
  </w:style>
  <w:style w:type="character" w:customStyle="1" w:styleId="90">
    <w:name w:val="标题 9 字符"/>
    <w:basedOn w:val="a0"/>
    <w:link w:val="9"/>
    <w:rsid w:val="00D2114A"/>
    <w:rPr>
      <w:rFonts w:ascii="等线 Light" w:eastAsia="等线 Light" w:hAnsi="等线 Light" w:cs="Times New Roman"/>
      <w:szCs w:val="21"/>
    </w:rPr>
  </w:style>
  <w:style w:type="paragraph" w:styleId="a3">
    <w:name w:val="header"/>
    <w:basedOn w:val="a"/>
    <w:link w:val="a4"/>
    <w:uiPriority w:val="99"/>
    <w:unhideWhenUsed/>
    <w:qFormat/>
    <w:rsid w:val="003079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079E8"/>
    <w:rPr>
      <w:sz w:val="18"/>
      <w:szCs w:val="18"/>
    </w:rPr>
  </w:style>
  <w:style w:type="paragraph" w:styleId="a5">
    <w:name w:val="footer"/>
    <w:basedOn w:val="a"/>
    <w:link w:val="a6"/>
    <w:uiPriority w:val="99"/>
    <w:unhideWhenUsed/>
    <w:qFormat/>
    <w:rsid w:val="003079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3079E8"/>
    <w:rPr>
      <w:sz w:val="18"/>
      <w:szCs w:val="18"/>
    </w:rPr>
  </w:style>
  <w:style w:type="paragraph" w:styleId="a7">
    <w:name w:val="Normal (Web)"/>
    <w:basedOn w:val="a"/>
    <w:unhideWhenUsed/>
    <w:qFormat/>
    <w:rsid w:val="0079267F"/>
    <w:pPr>
      <w:widowControl/>
      <w:spacing w:before="100" w:beforeAutospacing="1" w:after="100" w:afterAutospacing="1"/>
      <w:jc w:val="left"/>
    </w:pPr>
    <w:rPr>
      <w:rFonts w:ascii="宋体" w:hAnsi="宋体" w:cs="宋体"/>
      <w:kern w:val="0"/>
      <w:sz w:val="24"/>
    </w:rPr>
  </w:style>
  <w:style w:type="paragraph" w:styleId="a8">
    <w:name w:val="Plain Text"/>
    <w:basedOn w:val="a"/>
    <w:link w:val="a9"/>
    <w:uiPriority w:val="99"/>
    <w:unhideWhenUsed/>
    <w:qFormat/>
    <w:rsid w:val="002F557C"/>
    <w:rPr>
      <w:rFonts w:ascii="宋体" w:hAnsi="Courier New" w:cs="Courier New"/>
      <w:szCs w:val="21"/>
    </w:rPr>
  </w:style>
  <w:style w:type="character" w:customStyle="1" w:styleId="a9">
    <w:name w:val="纯文本 字符"/>
    <w:basedOn w:val="a0"/>
    <w:link w:val="a8"/>
    <w:uiPriority w:val="99"/>
    <w:qFormat/>
    <w:rsid w:val="002F557C"/>
    <w:rPr>
      <w:rFonts w:ascii="宋体" w:eastAsia="宋体" w:hAnsi="Courier New" w:cs="Courier New"/>
      <w:szCs w:val="21"/>
    </w:rPr>
  </w:style>
  <w:style w:type="character" w:customStyle="1" w:styleId="FontStyle47">
    <w:name w:val="Font Style47"/>
    <w:autoRedefine/>
    <w:qFormat/>
    <w:rsid w:val="002F557C"/>
    <w:rPr>
      <w:rFonts w:ascii="Times New Roman" w:hAnsi="Times New Roman" w:cs="Times New Roman"/>
      <w:sz w:val="22"/>
      <w:szCs w:val="22"/>
    </w:rPr>
  </w:style>
  <w:style w:type="paragraph" w:styleId="aa">
    <w:name w:val="List Paragraph"/>
    <w:basedOn w:val="a"/>
    <w:autoRedefine/>
    <w:uiPriority w:val="99"/>
    <w:qFormat/>
    <w:rsid w:val="002F557C"/>
    <w:pPr>
      <w:ind w:firstLineChars="200" w:firstLine="420"/>
    </w:pPr>
    <w:rPr>
      <w:rFonts w:asciiTheme="minorHAnsi" w:eastAsiaTheme="minorEastAsia" w:hAnsiTheme="minorHAnsi" w:cstheme="minorBidi"/>
      <w:szCs w:val="22"/>
    </w:rPr>
  </w:style>
  <w:style w:type="paragraph" w:styleId="ab">
    <w:name w:val="Balloon Text"/>
    <w:basedOn w:val="a"/>
    <w:link w:val="ac"/>
    <w:semiHidden/>
    <w:unhideWhenUsed/>
    <w:qFormat/>
    <w:rsid w:val="00A81F0C"/>
    <w:rPr>
      <w:sz w:val="18"/>
      <w:szCs w:val="18"/>
    </w:rPr>
  </w:style>
  <w:style w:type="character" w:customStyle="1" w:styleId="ac">
    <w:name w:val="批注框文本 字符"/>
    <w:basedOn w:val="a0"/>
    <w:link w:val="ab"/>
    <w:uiPriority w:val="99"/>
    <w:semiHidden/>
    <w:rsid w:val="00A81F0C"/>
    <w:rPr>
      <w:rFonts w:ascii="Times New Roman" w:eastAsia="宋体" w:hAnsi="Times New Roman" w:cs="Times New Roman"/>
      <w:sz w:val="18"/>
      <w:szCs w:val="18"/>
    </w:rPr>
  </w:style>
  <w:style w:type="paragraph" w:styleId="ad">
    <w:name w:val="No Spacing"/>
    <w:qFormat/>
    <w:rsid w:val="00FA576D"/>
    <w:pPr>
      <w:widowControl w:val="0"/>
      <w:jc w:val="both"/>
    </w:pPr>
    <w:rPr>
      <w:rFonts w:ascii="Times New Roman" w:eastAsia="宋体" w:hAnsi="Times New Roman" w:cs="Times New Roman"/>
      <w:szCs w:val="24"/>
    </w:rPr>
  </w:style>
  <w:style w:type="paragraph" w:customStyle="1" w:styleId="21">
    <w:name w:val="列出段落2"/>
    <w:basedOn w:val="a"/>
    <w:qFormat/>
    <w:rsid w:val="00FA576D"/>
    <w:pPr>
      <w:widowControl/>
      <w:ind w:firstLineChars="200" w:firstLine="420"/>
      <w:jc w:val="left"/>
    </w:pPr>
    <w:rPr>
      <w:rFonts w:ascii="宋体" w:hAnsi="宋体" w:cs="宋体"/>
      <w:kern w:val="0"/>
      <w:sz w:val="24"/>
    </w:rPr>
  </w:style>
  <w:style w:type="paragraph" w:styleId="ae">
    <w:name w:val="annotation text"/>
    <w:basedOn w:val="a"/>
    <w:link w:val="af"/>
    <w:unhideWhenUsed/>
    <w:qFormat/>
    <w:rsid w:val="00E84CB3"/>
    <w:pPr>
      <w:jc w:val="left"/>
    </w:pPr>
    <w:rPr>
      <w:rFonts w:ascii="宋体" w:hAnsi="宋体" w:cs="宋体"/>
      <w:sz w:val="24"/>
    </w:rPr>
  </w:style>
  <w:style w:type="character" w:customStyle="1" w:styleId="af">
    <w:name w:val="批注文字 字符"/>
    <w:basedOn w:val="a0"/>
    <w:link w:val="ae"/>
    <w:qFormat/>
    <w:rsid w:val="00E84CB3"/>
    <w:rPr>
      <w:rFonts w:ascii="宋体" w:eastAsia="宋体" w:hAnsi="宋体" w:cs="宋体"/>
      <w:sz w:val="24"/>
      <w:szCs w:val="24"/>
    </w:rPr>
  </w:style>
  <w:style w:type="paragraph" w:customStyle="1" w:styleId="11">
    <w:name w:val="列出段落1"/>
    <w:basedOn w:val="a"/>
    <w:qFormat/>
    <w:rsid w:val="00E84CB3"/>
    <w:pPr>
      <w:ind w:firstLineChars="200" w:firstLine="420"/>
    </w:pPr>
    <w:rPr>
      <w:rFonts w:ascii="Calibri" w:hAnsi="Calibri" w:cs="黑体"/>
      <w:szCs w:val="22"/>
    </w:rPr>
  </w:style>
  <w:style w:type="character" w:styleId="af0">
    <w:name w:val="page number"/>
    <w:qFormat/>
    <w:rsid w:val="00D2114A"/>
  </w:style>
  <w:style w:type="character" w:styleId="af1">
    <w:name w:val="line number"/>
    <w:qFormat/>
    <w:rsid w:val="00D2114A"/>
  </w:style>
  <w:style w:type="character" w:styleId="af2">
    <w:name w:val="annotation reference"/>
    <w:uiPriority w:val="99"/>
    <w:qFormat/>
    <w:rsid w:val="00D2114A"/>
    <w:rPr>
      <w:sz w:val="21"/>
      <w:szCs w:val="21"/>
    </w:rPr>
  </w:style>
  <w:style w:type="character" w:customStyle="1" w:styleId="af3">
    <w:name w:val="日期 字符"/>
    <w:link w:val="af4"/>
    <w:qFormat/>
    <w:rsid w:val="00D2114A"/>
    <w:rPr>
      <w:szCs w:val="24"/>
    </w:rPr>
  </w:style>
  <w:style w:type="paragraph" w:styleId="af4">
    <w:name w:val="Date"/>
    <w:basedOn w:val="a"/>
    <w:next w:val="a"/>
    <w:link w:val="af3"/>
    <w:qFormat/>
    <w:rsid w:val="00D2114A"/>
    <w:pPr>
      <w:ind w:leftChars="2500" w:left="100"/>
    </w:pPr>
    <w:rPr>
      <w:rFonts w:asciiTheme="minorHAnsi" w:eastAsiaTheme="minorEastAsia" w:hAnsiTheme="minorHAnsi" w:cstheme="minorBidi"/>
    </w:rPr>
  </w:style>
  <w:style w:type="character" w:customStyle="1" w:styleId="af5">
    <w:name w:val="批注主题 字符"/>
    <w:link w:val="af6"/>
    <w:qFormat/>
    <w:rsid w:val="00D2114A"/>
    <w:rPr>
      <w:b/>
      <w:bCs/>
      <w:szCs w:val="24"/>
    </w:rPr>
  </w:style>
  <w:style w:type="paragraph" w:styleId="af6">
    <w:name w:val="annotation subject"/>
    <w:basedOn w:val="ae"/>
    <w:next w:val="ae"/>
    <w:link w:val="af5"/>
    <w:qFormat/>
    <w:rsid w:val="00D2114A"/>
    <w:rPr>
      <w:rFonts w:asciiTheme="minorHAnsi" w:eastAsiaTheme="minorEastAsia" w:hAnsiTheme="minorHAnsi" w:cstheme="minorBidi"/>
      <w:b/>
      <w:bCs/>
      <w:sz w:val="21"/>
    </w:rPr>
  </w:style>
  <w:style w:type="character" w:customStyle="1" w:styleId="af7">
    <w:name w:val="正文文本 字符"/>
    <w:link w:val="af8"/>
    <w:qFormat/>
    <w:rsid w:val="00D2114A"/>
    <w:rPr>
      <w:rFonts w:ascii="Times New Roman" w:hAnsi="Times New Roman"/>
      <w:szCs w:val="24"/>
    </w:rPr>
  </w:style>
  <w:style w:type="paragraph" w:styleId="af8">
    <w:name w:val="Body Text"/>
    <w:basedOn w:val="a"/>
    <w:link w:val="af7"/>
    <w:qFormat/>
    <w:rsid w:val="00D2114A"/>
    <w:pPr>
      <w:spacing w:after="120"/>
    </w:pPr>
    <w:rPr>
      <w:rFonts w:eastAsiaTheme="minorEastAsia" w:cstheme="minorBidi"/>
    </w:rPr>
  </w:style>
  <w:style w:type="character" w:customStyle="1" w:styleId="af9">
    <w:name w:val="文档结构图 字符"/>
    <w:basedOn w:val="a0"/>
    <w:link w:val="afa"/>
    <w:semiHidden/>
    <w:rsid w:val="00D2114A"/>
    <w:rPr>
      <w:rFonts w:ascii="Times New Roman" w:eastAsia="宋体" w:hAnsi="Times New Roman" w:cs="Times New Roman"/>
      <w:szCs w:val="24"/>
      <w:shd w:val="clear" w:color="auto" w:fill="000080"/>
    </w:rPr>
  </w:style>
  <w:style w:type="paragraph" w:styleId="afa">
    <w:name w:val="Document Map"/>
    <w:basedOn w:val="a"/>
    <w:link w:val="af9"/>
    <w:semiHidden/>
    <w:rsid w:val="00D2114A"/>
    <w:pPr>
      <w:shd w:val="clear" w:color="auto" w:fill="000080"/>
    </w:pPr>
  </w:style>
  <w:style w:type="character" w:customStyle="1" w:styleId="12">
    <w:name w:val="日期 字符1"/>
    <w:basedOn w:val="a0"/>
    <w:uiPriority w:val="99"/>
    <w:semiHidden/>
    <w:rsid w:val="00D2114A"/>
    <w:rPr>
      <w:rFonts w:ascii="Times New Roman" w:eastAsia="宋体" w:hAnsi="Times New Roman" w:cs="Times New Roman"/>
      <w:szCs w:val="24"/>
    </w:rPr>
  </w:style>
  <w:style w:type="character" w:customStyle="1" w:styleId="13">
    <w:name w:val="正文文本 字符1"/>
    <w:basedOn w:val="a0"/>
    <w:uiPriority w:val="99"/>
    <w:semiHidden/>
    <w:rsid w:val="00D2114A"/>
    <w:rPr>
      <w:rFonts w:ascii="Times New Roman" w:eastAsia="宋体" w:hAnsi="Times New Roman" w:cs="Times New Roman"/>
      <w:szCs w:val="24"/>
    </w:rPr>
  </w:style>
  <w:style w:type="character" w:customStyle="1" w:styleId="14">
    <w:name w:val="批注主题 字符1"/>
    <w:basedOn w:val="af"/>
    <w:uiPriority w:val="99"/>
    <w:semiHidden/>
    <w:rsid w:val="00D2114A"/>
    <w:rPr>
      <w:rFonts w:ascii="Times New Roman" w:eastAsia="宋体" w:hAnsi="Times New Roman" w:cs="Times New Roman"/>
      <w:b/>
      <w:bCs/>
      <w:sz w:val="24"/>
      <w:szCs w:val="24"/>
    </w:rPr>
  </w:style>
  <w:style w:type="paragraph" w:styleId="afb">
    <w:name w:val="Revision"/>
    <w:hidden/>
    <w:uiPriority w:val="99"/>
    <w:unhideWhenUsed/>
    <w:rsid w:val="00D2114A"/>
    <w:rPr>
      <w:rFonts w:ascii="Times New Roman" w:eastAsia="宋体" w:hAnsi="Times New Roman" w:cs="Times New Roman"/>
      <w:szCs w:val="24"/>
    </w:rPr>
  </w:style>
  <w:style w:type="paragraph" w:customStyle="1" w:styleId="Default">
    <w:name w:val="Default"/>
    <w:qFormat/>
    <w:rsid w:val="00D2114A"/>
    <w:pPr>
      <w:widowControl w:val="0"/>
      <w:autoSpaceDE w:val="0"/>
      <w:autoSpaceDN w:val="0"/>
      <w:adjustRightInd w:val="0"/>
    </w:pPr>
    <w:rPr>
      <w:rFonts w:ascii="黑体" w:eastAsia="黑体" w:hAnsi="Times New Roman" w:cs="黑体"/>
      <w:color w:val="000000"/>
      <w:kern w:val="0"/>
      <w:sz w:val="24"/>
      <w:szCs w:val="24"/>
    </w:rPr>
  </w:style>
  <w:style w:type="table" w:styleId="afc">
    <w:name w:val="Table Grid"/>
    <w:basedOn w:val="a1"/>
    <w:uiPriority w:val="39"/>
    <w:qFormat/>
    <w:rsid w:val="00D941B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普通(Web)"/>
    <w:basedOn w:val="a"/>
    <w:qFormat/>
    <w:rsid w:val="00137012"/>
    <w:pPr>
      <w:widowControl/>
      <w:spacing w:before="100" w:beforeAutospacing="1" w:after="100" w:afterAutospacing="1"/>
      <w:jc w:val="left"/>
    </w:pPr>
    <w:rPr>
      <w:rFonts w:ascii="宋体" w:hAnsi="宋体"/>
      <w:color w:val="000000"/>
      <w:kern w:val="0"/>
      <w:sz w:val="24"/>
    </w:rPr>
  </w:style>
  <w:style w:type="paragraph" w:styleId="afd">
    <w:name w:val="footnote text"/>
    <w:basedOn w:val="a"/>
    <w:link w:val="afe"/>
    <w:unhideWhenUsed/>
    <w:qFormat/>
    <w:rsid w:val="002D5575"/>
    <w:pPr>
      <w:snapToGrid w:val="0"/>
      <w:jc w:val="left"/>
    </w:pPr>
    <w:rPr>
      <w:rFonts w:eastAsia="Adobe 仿宋 Std R"/>
      <w:sz w:val="18"/>
      <w:szCs w:val="18"/>
    </w:rPr>
  </w:style>
  <w:style w:type="character" w:customStyle="1" w:styleId="afe">
    <w:name w:val="脚注文本 字符"/>
    <w:basedOn w:val="a0"/>
    <w:link w:val="afd"/>
    <w:uiPriority w:val="99"/>
    <w:semiHidden/>
    <w:rsid w:val="002D5575"/>
    <w:rPr>
      <w:rFonts w:ascii="Times New Roman" w:eastAsia="Adobe 仿宋 Std R" w:hAnsi="Times New Roman" w:cs="Times New Roman"/>
      <w:sz w:val="18"/>
      <w:szCs w:val="18"/>
    </w:rPr>
  </w:style>
  <w:style w:type="character" w:styleId="aff">
    <w:name w:val="footnote reference"/>
    <w:unhideWhenUsed/>
    <w:qFormat/>
    <w:rsid w:val="002D5575"/>
    <w:rPr>
      <w:vertAlign w:val="superscript"/>
    </w:rPr>
  </w:style>
  <w:style w:type="character" w:styleId="aff0">
    <w:name w:val="Hyperlink"/>
    <w:basedOn w:val="a0"/>
    <w:qFormat/>
    <w:rsid w:val="004067A3"/>
    <w:rPr>
      <w:color w:val="0000FF"/>
      <w:u w:val="single"/>
    </w:rPr>
  </w:style>
  <w:style w:type="character" w:customStyle="1" w:styleId="aff1">
    <w:name w:val="无"/>
    <w:rsid w:val="00762F1C"/>
  </w:style>
  <w:style w:type="paragraph" w:customStyle="1" w:styleId="Aff2">
    <w:name w:val="正文 A"/>
    <w:rsid w:val="00762F1C"/>
    <w:pPr>
      <w:widowControl w:val="0"/>
      <w:jc w:val="both"/>
    </w:pPr>
    <w:rPr>
      <w:rFonts w:ascii="Times New Roman" w:eastAsia="Arial Unicode MS" w:hAnsi="Times New Roman" w:cs="Arial Unicode MS"/>
      <w:color w:val="000000"/>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048139">
      <w:bodyDiv w:val="1"/>
      <w:marLeft w:val="0"/>
      <w:marRight w:val="0"/>
      <w:marTop w:val="0"/>
      <w:marBottom w:val="0"/>
      <w:divBdr>
        <w:top w:val="none" w:sz="0" w:space="0" w:color="auto"/>
        <w:left w:val="none" w:sz="0" w:space="0" w:color="auto"/>
        <w:bottom w:val="none" w:sz="0" w:space="0" w:color="auto"/>
        <w:right w:val="none" w:sz="0" w:space="0" w:color="auto"/>
      </w:divBdr>
    </w:div>
    <w:div w:id="17060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20B9-B27C-4580-AF04-79718E3DF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1331</Words>
  <Characters>7589</Characters>
  <Application>Microsoft Office Word</Application>
  <DocSecurity>0</DocSecurity>
  <Lines>63</Lines>
  <Paragraphs>17</Paragraphs>
  <ScaleCrop>false</ScaleCrop>
  <Company>神州网信技术有限公司</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屈贝贝</cp:lastModifiedBy>
  <cp:revision>4</cp:revision>
  <cp:lastPrinted>2025-08-28T00:48:00Z</cp:lastPrinted>
  <dcterms:created xsi:type="dcterms:W3CDTF">2025-09-04T01:06:00Z</dcterms:created>
  <dcterms:modified xsi:type="dcterms:W3CDTF">2025-09-04T03:06:00Z</dcterms:modified>
</cp:coreProperties>
</file>