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947" w:rsidRDefault="00AE56B5">
      <w:pPr>
        <w:spacing w:line="60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color w:val="000000"/>
          <w:sz w:val="44"/>
          <w:szCs w:val="44"/>
        </w:rPr>
        <w:t>一次性使用内窥镜用活检袋</w:t>
      </w:r>
      <w:r>
        <w:rPr>
          <w:rFonts w:ascii="方正小标宋简体" w:eastAsia="方正小标宋简体" w:hAnsi="方正小标宋简体" w:cs="方正小标宋简体" w:hint="eastAsia"/>
          <w:bCs/>
          <w:color w:val="000000"/>
          <w:sz w:val="44"/>
          <w:szCs w:val="44"/>
        </w:rPr>
        <w:t>注册审查</w:t>
      </w:r>
    </w:p>
    <w:p w:rsidR="005D0947" w:rsidRDefault="00AE56B5">
      <w:pPr>
        <w:spacing w:line="60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指导原则</w:t>
      </w:r>
      <w:bookmarkStart w:id="0" w:name="_GoBack"/>
      <w:bookmarkEnd w:id="0"/>
    </w:p>
    <w:p w:rsidR="005D0947" w:rsidRDefault="005D0947">
      <w:pPr>
        <w:spacing w:line="520" w:lineRule="exact"/>
        <w:ind w:rightChars="-32" w:right="-67"/>
        <w:jc w:val="center"/>
        <w:rPr>
          <w:rFonts w:ascii="方正小标宋简体" w:eastAsia="方正小标宋简体"/>
          <w:color w:val="000000"/>
          <w:sz w:val="32"/>
          <w:szCs w:val="32"/>
        </w:rPr>
      </w:pPr>
    </w:p>
    <w:p w:rsidR="005D0947" w:rsidRDefault="00AE56B5">
      <w:pPr>
        <w:spacing w:line="520" w:lineRule="exact"/>
        <w:ind w:firstLineChars="200" w:firstLine="640"/>
        <w:rPr>
          <w:rFonts w:eastAsia="仿宋_GB2312"/>
          <w:color w:val="000000"/>
          <w:sz w:val="32"/>
          <w:szCs w:val="32"/>
        </w:rPr>
      </w:pPr>
      <w:r>
        <w:rPr>
          <w:rFonts w:eastAsia="仿宋_GB2312"/>
          <w:color w:val="000000"/>
          <w:sz w:val="32"/>
          <w:szCs w:val="32"/>
        </w:rPr>
        <w:t>本指导原则旨在指导注册申请人对一次性使用内窥镜用活检袋产品注册申报资料的准备及撰写，同时也为技术审评部门审评注册申报资料提供参考。</w:t>
      </w:r>
    </w:p>
    <w:p w:rsidR="005D0947" w:rsidRDefault="00AE56B5">
      <w:pPr>
        <w:spacing w:line="520" w:lineRule="exact"/>
        <w:ind w:firstLineChars="200" w:firstLine="640"/>
        <w:rPr>
          <w:rFonts w:eastAsia="仿宋_GB2312"/>
          <w:color w:val="000000"/>
          <w:sz w:val="32"/>
          <w:szCs w:val="32"/>
        </w:rPr>
      </w:pPr>
      <w:r>
        <w:rPr>
          <w:rFonts w:eastAsia="仿宋_GB2312"/>
          <w:color w:val="000000"/>
          <w:sz w:val="32"/>
          <w:szCs w:val="32"/>
        </w:rPr>
        <w:t>本指导原则</w:t>
      </w:r>
      <w:r>
        <w:rPr>
          <w:rFonts w:eastAsia="仿宋_GB2312" w:hint="eastAsia"/>
          <w:color w:val="000000"/>
          <w:sz w:val="32"/>
          <w:szCs w:val="32"/>
        </w:rPr>
        <w:t>是</w:t>
      </w:r>
      <w:r>
        <w:rPr>
          <w:rFonts w:eastAsia="仿宋_GB2312"/>
          <w:color w:val="000000"/>
          <w:sz w:val="32"/>
          <w:szCs w:val="32"/>
        </w:rPr>
        <w:t>对一次性使用内窥镜用活检袋产品的一般要求，</w:t>
      </w:r>
      <w:r>
        <w:rPr>
          <w:rFonts w:eastAsia="仿宋_GB2312" w:hint="eastAsia"/>
          <w:color w:val="000000"/>
          <w:sz w:val="32"/>
          <w:szCs w:val="32"/>
        </w:rPr>
        <w:t>注册申请人</w:t>
      </w:r>
      <w:r>
        <w:rPr>
          <w:rFonts w:eastAsia="仿宋_GB2312"/>
          <w:color w:val="000000"/>
          <w:sz w:val="32"/>
          <w:szCs w:val="32"/>
        </w:rPr>
        <w:t>应依据产品的具体特性确定其中内容是否适用，若不适用，</w:t>
      </w:r>
      <w:r>
        <w:rPr>
          <w:rFonts w:eastAsia="仿宋_GB2312" w:hint="eastAsia"/>
          <w:color w:val="000000"/>
          <w:sz w:val="32"/>
          <w:szCs w:val="32"/>
        </w:rPr>
        <w:t>需具体阐述理由及相应的科学依据，并依据产品的具体特性对注册申报资料的内容进行充实和细化。</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本指导原则是在现行法规和标准体系以及当前认知水平下制定，随着法规和标准的不断完善，以及科学技术的不断发展，本指导原则相关内容也将适时进行调整。</w:t>
      </w:r>
    </w:p>
    <w:p w:rsidR="005D0947" w:rsidRDefault="00AE56B5">
      <w:pPr>
        <w:spacing w:line="520" w:lineRule="exact"/>
        <w:ind w:firstLineChars="200" w:firstLine="640"/>
        <w:outlineLvl w:val="0"/>
        <w:rPr>
          <w:rFonts w:ascii="黑体" w:eastAsia="黑体" w:hAnsi="黑体"/>
          <w:color w:val="000000"/>
          <w:sz w:val="32"/>
          <w:szCs w:val="32"/>
        </w:rPr>
      </w:pPr>
      <w:r>
        <w:rPr>
          <w:rFonts w:ascii="黑体" w:eastAsia="黑体" w:hAnsi="黑体"/>
          <w:color w:val="000000"/>
          <w:sz w:val="32"/>
          <w:szCs w:val="32"/>
        </w:rPr>
        <w:t>一、</w:t>
      </w:r>
      <w:r>
        <w:rPr>
          <w:rFonts w:ascii="黑体" w:eastAsia="黑体" w:hAnsi="黑体" w:hint="eastAsia"/>
          <w:color w:val="000000"/>
          <w:sz w:val="32"/>
          <w:szCs w:val="32"/>
        </w:rPr>
        <w:t>适用范围</w:t>
      </w:r>
    </w:p>
    <w:p w:rsidR="005D0947" w:rsidRDefault="00AE56B5">
      <w:pPr>
        <w:spacing w:line="520" w:lineRule="exact"/>
        <w:ind w:firstLineChars="200" w:firstLine="640"/>
        <w:rPr>
          <w:rFonts w:eastAsia="仿宋_GB2312"/>
          <w:color w:val="000000"/>
          <w:sz w:val="32"/>
          <w:szCs w:val="32"/>
        </w:rPr>
      </w:pPr>
      <w:r>
        <w:rPr>
          <w:rFonts w:eastAsia="仿宋_GB2312"/>
          <w:color w:val="000000"/>
          <w:sz w:val="32"/>
          <w:szCs w:val="32"/>
        </w:rPr>
        <w:t>本指导原则适用于</w:t>
      </w:r>
      <w:r>
        <w:rPr>
          <w:rFonts w:eastAsia="仿宋_GB2312" w:hint="eastAsia"/>
          <w:color w:val="000000"/>
          <w:sz w:val="32"/>
          <w:szCs w:val="32"/>
        </w:rPr>
        <w:t>《医疗器械分类目录》</w:t>
      </w:r>
      <w:r>
        <w:rPr>
          <w:rFonts w:eastAsia="仿宋_GB2312"/>
          <w:color w:val="000000"/>
          <w:sz w:val="32"/>
          <w:szCs w:val="32"/>
        </w:rPr>
        <w:t>中分类编码为</w:t>
      </w:r>
      <w:r>
        <w:rPr>
          <w:rFonts w:eastAsia="仿宋_GB2312"/>
          <w:color w:val="000000"/>
          <w:sz w:val="32"/>
          <w:szCs w:val="32"/>
        </w:rPr>
        <w:t>0</w:t>
      </w:r>
      <w:r>
        <w:rPr>
          <w:rFonts w:eastAsia="仿宋_GB2312" w:hint="eastAsia"/>
          <w:color w:val="000000"/>
          <w:sz w:val="32"/>
          <w:szCs w:val="32"/>
        </w:rPr>
        <w:t>6</w:t>
      </w:r>
      <w:r>
        <w:rPr>
          <w:rFonts w:eastAsia="仿宋_GB2312"/>
          <w:color w:val="000000"/>
          <w:sz w:val="32"/>
          <w:szCs w:val="32"/>
        </w:rPr>
        <w:t>-1</w:t>
      </w:r>
      <w:r>
        <w:rPr>
          <w:rFonts w:eastAsia="仿宋_GB2312" w:hint="eastAsia"/>
          <w:color w:val="000000"/>
          <w:sz w:val="32"/>
          <w:szCs w:val="32"/>
        </w:rPr>
        <w:t>6</w:t>
      </w:r>
      <w:r>
        <w:rPr>
          <w:rFonts w:eastAsia="仿宋_GB2312"/>
          <w:color w:val="000000"/>
          <w:sz w:val="32"/>
          <w:szCs w:val="32"/>
        </w:rPr>
        <w:t>-</w:t>
      </w:r>
      <w:r>
        <w:rPr>
          <w:rFonts w:eastAsia="仿宋_GB2312" w:hint="eastAsia"/>
          <w:color w:val="000000"/>
          <w:sz w:val="32"/>
          <w:szCs w:val="32"/>
        </w:rPr>
        <w:t>06</w:t>
      </w:r>
      <w:r>
        <w:rPr>
          <w:rFonts w:eastAsia="仿宋_GB2312" w:hint="eastAsia"/>
          <w:color w:val="000000"/>
          <w:sz w:val="32"/>
          <w:szCs w:val="32"/>
        </w:rPr>
        <w:t>，以无菌形式提供的</w:t>
      </w:r>
      <w:r>
        <w:rPr>
          <w:rFonts w:eastAsia="仿宋_GB2312"/>
          <w:color w:val="000000"/>
          <w:sz w:val="32"/>
          <w:szCs w:val="32"/>
        </w:rPr>
        <w:t>一次性使用内窥镜用活检袋（</w:t>
      </w:r>
      <w:r>
        <w:rPr>
          <w:rFonts w:eastAsia="仿宋_GB2312" w:hint="eastAsia"/>
          <w:color w:val="000000"/>
          <w:sz w:val="32"/>
          <w:szCs w:val="32"/>
        </w:rPr>
        <w:t>以下</w:t>
      </w:r>
      <w:r>
        <w:rPr>
          <w:rFonts w:eastAsia="仿宋_GB2312"/>
          <w:color w:val="000000"/>
          <w:sz w:val="32"/>
          <w:szCs w:val="32"/>
        </w:rPr>
        <w:t>简称</w:t>
      </w:r>
      <w:r>
        <w:rPr>
          <w:rFonts w:eastAsia="仿宋_GB2312" w:hint="eastAsia"/>
          <w:color w:val="000000"/>
          <w:sz w:val="32"/>
          <w:szCs w:val="32"/>
        </w:rPr>
        <w:t>活检袋</w:t>
      </w:r>
      <w:r>
        <w:rPr>
          <w:rFonts w:eastAsia="仿宋_GB2312"/>
          <w:color w:val="000000"/>
          <w:sz w:val="32"/>
          <w:szCs w:val="32"/>
        </w:rPr>
        <w:t>）</w:t>
      </w:r>
      <w:r>
        <w:rPr>
          <w:rFonts w:eastAsia="仿宋_GB2312" w:hint="eastAsia"/>
          <w:color w:val="000000"/>
          <w:sz w:val="32"/>
          <w:szCs w:val="32"/>
        </w:rPr>
        <w:t>。</w:t>
      </w:r>
    </w:p>
    <w:p w:rsidR="005D0947" w:rsidRDefault="00AE56B5">
      <w:pPr>
        <w:spacing w:line="520" w:lineRule="exact"/>
        <w:ind w:firstLineChars="200" w:firstLine="640"/>
        <w:outlineLvl w:val="0"/>
        <w:rPr>
          <w:rFonts w:ascii="黑体" w:eastAsia="黑体" w:hAnsi="黑体"/>
          <w:color w:val="000000"/>
          <w:sz w:val="32"/>
          <w:szCs w:val="32"/>
        </w:rPr>
      </w:pPr>
      <w:r>
        <w:rPr>
          <w:rFonts w:ascii="黑体" w:eastAsia="黑体" w:hAnsi="黑体"/>
          <w:color w:val="000000"/>
          <w:sz w:val="32"/>
          <w:szCs w:val="32"/>
        </w:rPr>
        <w:t>二、</w:t>
      </w:r>
      <w:r>
        <w:rPr>
          <w:rFonts w:ascii="黑体" w:eastAsia="黑体" w:hAnsi="黑体" w:hint="eastAsia"/>
          <w:color w:val="000000"/>
          <w:sz w:val="32"/>
          <w:szCs w:val="32"/>
        </w:rPr>
        <w:t>注册</w:t>
      </w:r>
      <w:r>
        <w:rPr>
          <w:rFonts w:ascii="黑体" w:eastAsia="黑体" w:hAnsi="黑体"/>
          <w:color w:val="000000"/>
          <w:sz w:val="32"/>
          <w:szCs w:val="32"/>
        </w:rPr>
        <w:t>审查要点</w:t>
      </w:r>
    </w:p>
    <w:p w:rsidR="005D0947" w:rsidRDefault="00AE56B5">
      <w:pPr>
        <w:snapToGrid w:val="0"/>
        <w:spacing w:line="520" w:lineRule="exact"/>
        <w:ind w:firstLineChars="200" w:firstLine="640"/>
        <w:rPr>
          <w:rFonts w:ascii="楷体" w:eastAsia="楷体" w:hAnsi="楷体"/>
          <w:color w:val="000000"/>
          <w:sz w:val="32"/>
          <w:szCs w:val="32"/>
        </w:rPr>
      </w:pPr>
      <w:r>
        <w:rPr>
          <w:rFonts w:eastAsia="仿宋_GB2312" w:hint="eastAsia"/>
          <w:sz w:val="32"/>
          <w:szCs w:val="32"/>
        </w:rPr>
        <w:t>注册申报资料</w:t>
      </w:r>
      <w:bookmarkStart w:id="1" w:name="_Hlk106979187"/>
      <w:r>
        <w:rPr>
          <w:rFonts w:eastAsia="仿宋_GB2312" w:hint="eastAsia"/>
          <w:sz w:val="32"/>
          <w:szCs w:val="32"/>
        </w:rPr>
        <w:t>应符合国家药品监督管理局《关于公布医疗器械注册申报资料要求和批准证明文件格式的公告》中对注册</w:t>
      </w:r>
      <w:r>
        <w:rPr>
          <w:rFonts w:eastAsia="仿宋_GB2312" w:hint="eastAsia"/>
          <w:sz w:val="32"/>
          <w:szCs w:val="32"/>
        </w:rPr>
        <w:lastRenderedPageBreak/>
        <w:t>申报资料的要求</w:t>
      </w:r>
      <w:bookmarkEnd w:id="1"/>
      <w:r>
        <w:rPr>
          <w:rFonts w:eastAsia="仿宋_GB2312" w:hint="eastAsia"/>
          <w:sz w:val="32"/>
          <w:szCs w:val="32"/>
        </w:rPr>
        <w:t>，同时宜符合以下要求：</w:t>
      </w:r>
    </w:p>
    <w:p w:rsidR="005D0947" w:rsidRDefault="00AE56B5">
      <w:pPr>
        <w:snapToGrid w:val="0"/>
        <w:spacing w:line="520" w:lineRule="exact"/>
        <w:ind w:firstLineChars="200" w:firstLine="640"/>
        <w:outlineLvl w:val="1"/>
        <w:rPr>
          <w:rFonts w:eastAsia="楷体_GB2312"/>
          <w:color w:val="000000"/>
          <w:sz w:val="32"/>
          <w:szCs w:val="32"/>
        </w:rPr>
      </w:pPr>
      <w:r>
        <w:rPr>
          <w:rFonts w:eastAsia="楷体_GB2312" w:hint="eastAsia"/>
          <w:color w:val="000000"/>
          <w:sz w:val="32"/>
          <w:szCs w:val="32"/>
        </w:rPr>
        <w:t>（一）产品的设计开发总则</w:t>
      </w:r>
    </w:p>
    <w:p w:rsidR="005D0947" w:rsidRDefault="00AE56B5">
      <w:pPr>
        <w:snapToGrid w:val="0"/>
        <w:spacing w:line="520" w:lineRule="exact"/>
        <w:ind w:firstLineChars="200" w:firstLine="640"/>
        <w:outlineLvl w:val="2"/>
        <w:rPr>
          <w:rFonts w:ascii="仿宋_GB2312" w:eastAsia="仿宋_GB2312"/>
          <w:bCs/>
          <w:iCs/>
          <w:sz w:val="32"/>
          <w:szCs w:val="28"/>
        </w:rPr>
      </w:pPr>
      <w:r>
        <w:rPr>
          <w:rFonts w:eastAsia="仿宋_GB2312"/>
          <w:bCs/>
          <w:iCs/>
          <w:sz w:val="32"/>
          <w:szCs w:val="28"/>
        </w:rPr>
        <w:t>1.</w:t>
      </w:r>
      <w:r>
        <w:rPr>
          <w:rFonts w:ascii="仿宋_GB2312" w:eastAsia="仿宋_GB2312" w:hint="eastAsia"/>
          <w:bCs/>
          <w:iCs/>
          <w:sz w:val="32"/>
          <w:szCs w:val="28"/>
        </w:rPr>
        <w:t>临床</w:t>
      </w:r>
      <w:r>
        <w:rPr>
          <w:rFonts w:eastAsia="仿宋_GB2312" w:hint="eastAsia"/>
          <w:color w:val="000000"/>
          <w:sz w:val="32"/>
          <w:szCs w:val="32"/>
        </w:rPr>
        <w:t>导向</w:t>
      </w:r>
    </w:p>
    <w:p w:rsidR="005D0947" w:rsidRDefault="00AE56B5">
      <w:pPr>
        <w:snapToGrid w:val="0"/>
        <w:spacing w:line="520" w:lineRule="exact"/>
        <w:ind w:firstLineChars="200" w:firstLine="640"/>
        <w:rPr>
          <w:rFonts w:ascii="仿宋_GB2312" w:eastAsia="仿宋_GB2312"/>
          <w:bCs/>
          <w:iCs/>
          <w:sz w:val="32"/>
          <w:szCs w:val="28"/>
        </w:rPr>
      </w:pPr>
      <w:r>
        <w:rPr>
          <w:rFonts w:ascii="仿宋_GB2312" w:eastAsia="仿宋_GB2312" w:hint="eastAsia"/>
          <w:bCs/>
          <w:iCs/>
          <w:sz w:val="32"/>
          <w:szCs w:val="28"/>
        </w:rPr>
        <w:t>活检袋</w:t>
      </w:r>
      <w:r>
        <w:rPr>
          <w:rFonts w:eastAsia="仿宋_GB2312" w:hint="eastAsia"/>
          <w:bCs/>
          <w:color w:val="000000"/>
          <w:sz w:val="32"/>
          <w:szCs w:val="32"/>
        </w:rPr>
        <w:t>设计</w:t>
      </w:r>
      <w:r>
        <w:rPr>
          <w:rFonts w:ascii="仿宋_GB2312" w:eastAsia="仿宋_GB2312" w:hint="eastAsia"/>
          <w:bCs/>
          <w:iCs/>
          <w:sz w:val="32"/>
          <w:szCs w:val="28"/>
        </w:rPr>
        <w:t>开发应以临床为导向，应能保证产品用于临床的安全和有效。产品设计开发时应充分调研临床需求并将其准确转化为设计开发输入的明确要求，使得最终输出的产品能保证用于临床的安全和有效。活检袋产品的临床需求通常包括但不限于以下内容：</w:t>
      </w:r>
    </w:p>
    <w:p w:rsidR="005D0947" w:rsidRDefault="00AE56B5">
      <w:pPr>
        <w:snapToGrid w:val="0"/>
        <w:spacing w:line="520" w:lineRule="exact"/>
        <w:ind w:firstLineChars="200" w:firstLine="640"/>
        <w:rPr>
          <w:rFonts w:ascii="仿宋_GB2312" w:eastAsia="仿宋_GB2312"/>
          <w:bCs/>
          <w:iCs/>
          <w:sz w:val="32"/>
          <w:szCs w:val="28"/>
        </w:rPr>
      </w:pPr>
      <w:r>
        <w:rPr>
          <w:rFonts w:ascii="仿宋_GB2312" w:eastAsia="仿宋_GB2312" w:hint="eastAsia"/>
          <w:bCs/>
          <w:iCs/>
          <w:sz w:val="32"/>
          <w:szCs w:val="28"/>
        </w:rPr>
        <w:t>活检袋与配套器械（如腹部穿刺器等）的配合</w:t>
      </w:r>
    </w:p>
    <w:p w:rsidR="005D0947" w:rsidRDefault="00AE56B5">
      <w:pPr>
        <w:snapToGrid w:val="0"/>
        <w:spacing w:line="520" w:lineRule="exact"/>
        <w:ind w:firstLineChars="200" w:firstLine="640"/>
        <w:rPr>
          <w:rFonts w:ascii="仿宋_GB2312" w:eastAsia="仿宋_GB2312"/>
          <w:bCs/>
          <w:iCs/>
          <w:sz w:val="32"/>
          <w:szCs w:val="28"/>
        </w:rPr>
      </w:pPr>
      <w:r>
        <w:rPr>
          <w:rFonts w:ascii="仿宋_GB2312" w:eastAsia="仿宋_GB2312" w:hint="eastAsia"/>
          <w:bCs/>
          <w:iCs/>
          <w:sz w:val="32"/>
          <w:szCs w:val="28"/>
        </w:rPr>
        <w:t>活检袋的撑开</w:t>
      </w:r>
    </w:p>
    <w:p w:rsidR="005D0947" w:rsidRDefault="00AE56B5">
      <w:pPr>
        <w:snapToGrid w:val="0"/>
        <w:spacing w:line="520" w:lineRule="exact"/>
        <w:ind w:firstLineChars="200" w:firstLine="640"/>
        <w:rPr>
          <w:rFonts w:ascii="仿宋_GB2312" w:eastAsia="仿宋_GB2312"/>
          <w:bCs/>
          <w:iCs/>
          <w:sz w:val="32"/>
          <w:szCs w:val="28"/>
        </w:rPr>
      </w:pPr>
      <w:r>
        <w:rPr>
          <w:rFonts w:ascii="仿宋_GB2312" w:eastAsia="仿宋_GB2312" w:hint="eastAsia"/>
          <w:bCs/>
          <w:iCs/>
          <w:sz w:val="32"/>
          <w:szCs w:val="28"/>
        </w:rPr>
        <w:t>活检袋袋体的容积</w:t>
      </w:r>
    </w:p>
    <w:p w:rsidR="005D0947" w:rsidRDefault="00AE56B5">
      <w:pPr>
        <w:snapToGrid w:val="0"/>
        <w:spacing w:line="520" w:lineRule="exact"/>
        <w:ind w:firstLineChars="200" w:firstLine="640"/>
        <w:rPr>
          <w:rFonts w:ascii="仿宋_GB2312" w:eastAsia="仿宋_GB2312"/>
          <w:bCs/>
          <w:iCs/>
          <w:sz w:val="32"/>
          <w:szCs w:val="28"/>
        </w:rPr>
      </w:pPr>
      <w:r>
        <w:rPr>
          <w:rFonts w:ascii="仿宋_GB2312" w:eastAsia="仿宋_GB2312" w:hint="eastAsia"/>
          <w:bCs/>
          <w:iCs/>
          <w:sz w:val="32"/>
          <w:szCs w:val="28"/>
        </w:rPr>
        <w:t>活检袋袋体的强度和抗穿刺</w:t>
      </w:r>
    </w:p>
    <w:p w:rsidR="005D0947" w:rsidRDefault="00AE56B5">
      <w:pPr>
        <w:snapToGrid w:val="0"/>
        <w:spacing w:line="520" w:lineRule="exact"/>
        <w:ind w:firstLineChars="200" w:firstLine="640"/>
        <w:rPr>
          <w:rFonts w:ascii="仿宋_GB2312" w:eastAsia="仿宋_GB2312"/>
          <w:bCs/>
          <w:iCs/>
          <w:sz w:val="32"/>
          <w:szCs w:val="28"/>
        </w:rPr>
      </w:pPr>
      <w:r>
        <w:rPr>
          <w:rFonts w:ascii="仿宋_GB2312" w:eastAsia="仿宋_GB2312" w:hint="eastAsia"/>
          <w:bCs/>
          <w:iCs/>
          <w:sz w:val="32"/>
          <w:szCs w:val="28"/>
        </w:rPr>
        <w:t>活检袋袋体的密封</w:t>
      </w:r>
    </w:p>
    <w:p w:rsidR="005D0947" w:rsidRDefault="00AE56B5">
      <w:pPr>
        <w:snapToGrid w:val="0"/>
        <w:spacing w:line="520" w:lineRule="exact"/>
        <w:ind w:firstLineChars="200" w:firstLine="640"/>
        <w:rPr>
          <w:rFonts w:ascii="仿宋_GB2312" w:eastAsia="仿宋_GB2312"/>
          <w:bCs/>
          <w:iCs/>
          <w:sz w:val="32"/>
          <w:szCs w:val="28"/>
        </w:rPr>
      </w:pPr>
      <w:r>
        <w:rPr>
          <w:rFonts w:ascii="仿宋_GB2312" w:eastAsia="仿宋_GB2312" w:hint="eastAsia"/>
          <w:bCs/>
          <w:iCs/>
          <w:sz w:val="32"/>
          <w:szCs w:val="28"/>
        </w:rPr>
        <w:t>获取组织和</w:t>
      </w:r>
      <w:r>
        <w:rPr>
          <w:rFonts w:ascii="仿宋_GB2312" w:eastAsia="仿宋_GB2312" w:hint="eastAsia"/>
          <w:bCs/>
          <w:iCs/>
          <w:sz w:val="32"/>
          <w:szCs w:val="28"/>
        </w:rPr>
        <w:t>/</w:t>
      </w:r>
      <w:r>
        <w:rPr>
          <w:rFonts w:ascii="仿宋_GB2312" w:eastAsia="仿宋_GB2312" w:hint="eastAsia"/>
          <w:bCs/>
          <w:iCs/>
          <w:sz w:val="32"/>
          <w:szCs w:val="28"/>
        </w:rPr>
        <w:t>或活检样本后活检袋的回撤</w:t>
      </w:r>
    </w:p>
    <w:p w:rsidR="005D0947" w:rsidRDefault="00AE56B5">
      <w:pPr>
        <w:snapToGrid w:val="0"/>
        <w:spacing w:line="520" w:lineRule="exact"/>
        <w:ind w:firstLineChars="200" w:firstLine="640"/>
        <w:outlineLvl w:val="2"/>
        <w:rPr>
          <w:rFonts w:ascii="仿宋_GB2312" w:eastAsia="仿宋_GB2312"/>
          <w:bCs/>
          <w:iCs/>
          <w:sz w:val="32"/>
          <w:szCs w:val="28"/>
        </w:rPr>
      </w:pPr>
      <w:r>
        <w:rPr>
          <w:rFonts w:eastAsia="仿宋_GB2312"/>
          <w:bCs/>
          <w:iCs/>
          <w:sz w:val="32"/>
          <w:szCs w:val="28"/>
        </w:rPr>
        <w:t>2.</w:t>
      </w:r>
      <w:r>
        <w:rPr>
          <w:rFonts w:eastAsia="仿宋_GB2312" w:hint="eastAsia"/>
          <w:color w:val="000000"/>
          <w:sz w:val="32"/>
          <w:szCs w:val="32"/>
        </w:rPr>
        <w:t>有害物质</w:t>
      </w:r>
      <w:r>
        <w:rPr>
          <w:rFonts w:ascii="仿宋_GB2312" w:eastAsia="仿宋_GB2312" w:hint="eastAsia"/>
          <w:bCs/>
          <w:iCs/>
          <w:sz w:val="32"/>
          <w:szCs w:val="28"/>
        </w:rPr>
        <w:t>的控制</w:t>
      </w:r>
    </w:p>
    <w:p w:rsidR="005D0947" w:rsidRDefault="00AE56B5">
      <w:pPr>
        <w:snapToGrid w:val="0"/>
        <w:spacing w:line="520" w:lineRule="exact"/>
        <w:ind w:firstLineChars="200" w:firstLine="640"/>
        <w:rPr>
          <w:rFonts w:ascii="仿宋_GB2312" w:eastAsia="仿宋_GB2312"/>
          <w:bCs/>
          <w:iCs/>
          <w:sz w:val="32"/>
          <w:szCs w:val="28"/>
        </w:rPr>
      </w:pPr>
      <w:r>
        <w:rPr>
          <w:rFonts w:ascii="仿宋_GB2312" w:eastAsia="仿宋_GB2312" w:hint="eastAsia"/>
          <w:bCs/>
          <w:iCs/>
          <w:sz w:val="32"/>
          <w:szCs w:val="28"/>
        </w:rPr>
        <w:t>活检袋设计开发和生产过程应保证产生的析出物、加工残留物等降低到可接受水平，为患者提供</w:t>
      </w:r>
      <w:r>
        <w:rPr>
          <w:rFonts w:eastAsia="仿宋_GB2312" w:hint="eastAsia"/>
          <w:bCs/>
          <w:color w:val="000000"/>
          <w:sz w:val="32"/>
          <w:szCs w:val="32"/>
        </w:rPr>
        <w:t>最大</w:t>
      </w:r>
      <w:r>
        <w:rPr>
          <w:rFonts w:ascii="仿宋_GB2312" w:eastAsia="仿宋_GB2312" w:hint="eastAsia"/>
          <w:bCs/>
          <w:iCs/>
          <w:sz w:val="32"/>
          <w:szCs w:val="28"/>
        </w:rPr>
        <w:t>程度的安全保障。</w:t>
      </w:r>
    </w:p>
    <w:p w:rsidR="005D0947" w:rsidRDefault="00AE56B5">
      <w:pPr>
        <w:snapToGrid w:val="0"/>
        <w:spacing w:line="520" w:lineRule="exact"/>
        <w:ind w:firstLineChars="200" w:firstLine="640"/>
        <w:rPr>
          <w:rFonts w:ascii="仿宋_GB2312" w:eastAsia="仿宋_GB2312"/>
          <w:bCs/>
          <w:iCs/>
          <w:sz w:val="32"/>
          <w:szCs w:val="28"/>
        </w:rPr>
      </w:pPr>
      <w:r>
        <w:rPr>
          <w:rFonts w:ascii="仿宋_GB2312" w:eastAsia="仿宋_GB2312" w:hint="eastAsia"/>
          <w:bCs/>
          <w:iCs/>
          <w:sz w:val="32"/>
          <w:szCs w:val="28"/>
        </w:rPr>
        <w:t>选择活检袋袋体材料时除考虑袋体的物理性能（袋体强度和抗穿刺性等）和与加工方式的相容性外还应充分考虑其析出物（如残留单体等）对于人体的影响并进行评价。</w:t>
      </w:r>
    </w:p>
    <w:p w:rsidR="005D0947" w:rsidRDefault="00AE56B5">
      <w:pPr>
        <w:snapToGrid w:val="0"/>
        <w:spacing w:line="520" w:lineRule="exact"/>
        <w:ind w:firstLineChars="200" w:firstLine="640"/>
        <w:rPr>
          <w:rFonts w:ascii="仿宋_GB2312" w:eastAsia="仿宋_GB2312"/>
          <w:bCs/>
          <w:iCs/>
          <w:sz w:val="32"/>
          <w:szCs w:val="28"/>
        </w:rPr>
      </w:pPr>
      <w:r>
        <w:rPr>
          <w:rFonts w:ascii="仿宋_GB2312" w:eastAsia="仿宋_GB2312" w:hint="eastAsia"/>
          <w:bCs/>
          <w:iCs/>
          <w:sz w:val="32"/>
          <w:szCs w:val="28"/>
        </w:rPr>
        <w:t>应结合活检袋加工助剂的使用情况及采取的去除措施等对加工残留物的水平进行充分的研究和评价。对于采用环氧乙烷灭菌的活检袋产品，环氧乙烷及</w:t>
      </w:r>
      <w:r>
        <w:rPr>
          <w:rFonts w:ascii="仿宋_GB2312" w:eastAsia="仿宋_GB2312" w:hint="eastAsia"/>
          <w:bCs/>
          <w:iCs/>
          <w:sz w:val="32"/>
          <w:szCs w:val="28"/>
        </w:rPr>
        <w:t>2-</w:t>
      </w:r>
      <w:r>
        <w:rPr>
          <w:rFonts w:ascii="仿宋_GB2312" w:eastAsia="仿宋_GB2312" w:hint="eastAsia"/>
          <w:bCs/>
          <w:iCs/>
          <w:sz w:val="32"/>
          <w:szCs w:val="28"/>
        </w:rPr>
        <w:t>氯乙醇是其常见的加工残留物，考虑到活检袋产品通常折叠为多层结构后再进行灭菌，对于环氧乙烷的扩散和解析会带来额外的挑战，在环氧乙烷灭菌</w:t>
      </w:r>
      <w:r>
        <w:rPr>
          <w:rFonts w:ascii="仿宋_GB2312" w:eastAsia="仿宋_GB2312" w:hint="eastAsia"/>
          <w:bCs/>
          <w:iCs/>
          <w:sz w:val="32"/>
          <w:szCs w:val="28"/>
        </w:rPr>
        <w:lastRenderedPageBreak/>
        <w:t>及解析过程的设计开发中均应予以充分的考虑、验证和确认，确保所采用方法对残留物具有足够的去除能力，保证其降低到可接受水平。</w:t>
      </w:r>
    </w:p>
    <w:p w:rsidR="005D0947" w:rsidRDefault="00AE56B5">
      <w:pPr>
        <w:snapToGrid w:val="0"/>
        <w:spacing w:line="520" w:lineRule="exact"/>
        <w:ind w:firstLineChars="200" w:firstLine="640"/>
        <w:outlineLvl w:val="2"/>
        <w:rPr>
          <w:rFonts w:ascii="仿宋_GB2312" w:eastAsia="仿宋_GB2312"/>
          <w:bCs/>
          <w:iCs/>
          <w:sz w:val="32"/>
          <w:szCs w:val="28"/>
        </w:rPr>
      </w:pPr>
      <w:r>
        <w:rPr>
          <w:rFonts w:eastAsia="仿宋_GB2312"/>
          <w:bCs/>
          <w:iCs/>
          <w:sz w:val="32"/>
          <w:szCs w:val="28"/>
        </w:rPr>
        <w:t>3.</w:t>
      </w:r>
      <w:r>
        <w:rPr>
          <w:rFonts w:eastAsia="仿宋_GB2312" w:hint="eastAsia"/>
          <w:color w:val="000000"/>
          <w:sz w:val="32"/>
          <w:szCs w:val="32"/>
        </w:rPr>
        <w:t>可用性</w:t>
      </w:r>
    </w:p>
    <w:p w:rsidR="005D0947" w:rsidRDefault="00AE56B5">
      <w:pPr>
        <w:snapToGrid w:val="0"/>
        <w:spacing w:line="520" w:lineRule="exact"/>
        <w:ind w:firstLineChars="200" w:firstLine="640"/>
        <w:rPr>
          <w:rFonts w:ascii="仿宋_GB2312" w:eastAsia="仿宋_GB2312"/>
          <w:bCs/>
          <w:iCs/>
          <w:sz w:val="32"/>
          <w:szCs w:val="28"/>
        </w:rPr>
      </w:pPr>
      <w:r>
        <w:rPr>
          <w:rFonts w:ascii="仿宋_GB2312" w:eastAsia="仿宋_GB2312" w:hint="eastAsia"/>
          <w:bCs/>
          <w:iCs/>
          <w:sz w:val="32"/>
          <w:szCs w:val="28"/>
        </w:rPr>
        <w:t>活检袋的</w:t>
      </w:r>
      <w:r>
        <w:rPr>
          <w:rFonts w:eastAsia="仿宋_GB2312" w:hint="eastAsia"/>
          <w:bCs/>
          <w:color w:val="000000"/>
          <w:sz w:val="32"/>
          <w:szCs w:val="32"/>
        </w:rPr>
        <w:t>设计</w:t>
      </w:r>
      <w:r>
        <w:rPr>
          <w:rFonts w:ascii="仿宋_GB2312" w:eastAsia="仿宋_GB2312" w:hint="eastAsia"/>
          <w:bCs/>
          <w:iCs/>
          <w:sz w:val="32"/>
          <w:szCs w:val="28"/>
        </w:rPr>
        <w:t>开发应考虑医疗器械可用性工程的要求。</w:t>
      </w:r>
    </w:p>
    <w:p w:rsidR="005D0947" w:rsidRDefault="00AE56B5">
      <w:pPr>
        <w:snapToGrid w:val="0"/>
        <w:spacing w:line="520" w:lineRule="exact"/>
        <w:ind w:firstLineChars="200" w:firstLine="640"/>
        <w:rPr>
          <w:rFonts w:ascii="仿宋_GB2312" w:eastAsia="仿宋_GB2312" w:hAnsi="楷体"/>
          <w:sz w:val="32"/>
          <w:szCs w:val="32"/>
        </w:rPr>
      </w:pPr>
      <w:r>
        <w:rPr>
          <w:rFonts w:ascii="仿宋_GB2312" w:eastAsia="仿宋_GB2312" w:hAnsi="楷体" w:hint="eastAsia"/>
          <w:sz w:val="32"/>
          <w:szCs w:val="32"/>
        </w:rPr>
        <w:t>医疗器械可用性工程是医疗器械设计开发的重要组成部分，注册申请</w:t>
      </w:r>
      <w:r>
        <w:rPr>
          <w:rFonts w:ascii="仿宋_GB2312" w:eastAsia="仿宋_GB2312" w:hAnsi="楷体" w:hint="eastAsia"/>
          <w:sz w:val="32"/>
          <w:szCs w:val="32"/>
        </w:rPr>
        <w:t>人需在质量管理体系设计开发过程的框架下，参考《医疗器械可用性工程注册审查指导原则》相应内容及可用性相关标准，建立充分、适宜、有效的可用性工程过程。活检袋产品可识别为中、低使用风险医疗器械</w:t>
      </w:r>
      <w:r>
        <w:rPr>
          <w:rFonts w:ascii="仿宋_GB2312" w:eastAsia="仿宋_GB2312" w:hAnsi="楷体" w:hint="eastAsia"/>
          <w:sz w:val="32"/>
          <w:szCs w:val="32"/>
        </w:rPr>
        <w:t>,</w:t>
      </w:r>
      <w:r>
        <w:rPr>
          <w:rFonts w:ascii="仿宋_GB2312" w:eastAsia="仿宋_GB2312" w:hAnsi="楷体" w:hint="eastAsia"/>
          <w:sz w:val="32"/>
          <w:szCs w:val="32"/>
        </w:rPr>
        <w:t>应基于风险管理过程开展可用性工程全生命周期质控工作，开展使用错误评估并形成报告，使用错误评估报告用于细化风险管理报告关于可用性的内容，包括基本信息、使用风险级别、核心要素、同类医疗器械上市后使用问题分析、使用风险管理、结论等内容。</w:t>
      </w:r>
    </w:p>
    <w:p w:rsidR="005D0947" w:rsidRDefault="00AE56B5">
      <w:pPr>
        <w:snapToGrid w:val="0"/>
        <w:spacing w:line="520" w:lineRule="exact"/>
        <w:ind w:firstLineChars="200" w:firstLine="640"/>
        <w:outlineLvl w:val="1"/>
        <w:rPr>
          <w:rFonts w:eastAsia="楷体_GB2312"/>
          <w:color w:val="000000"/>
          <w:sz w:val="32"/>
          <w:szCs w:val="32"/>
        </w:rPr>
      </w:pPr>
      <w:r>
        <w:rPr>
          <w:rFonts w:eastAsia="楷体_GB2312" w:hint="eastAsia"/>
          <w:color w:val="000000"/>
          <w:sz w:val="32"/>
          <w:szCs w:val="32"/>
        </w:rPr>
        <w:t>（二）监管信息</w:t>
      </w: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w:t>
      </w:r>
      <w:r>
        <w:rPr>
          <w:rFonts w:eastAsia="仿宋_GB2312" w:hint="eastAsia"/>
          <w:color w:val="000000"/>
          <w:sz w:val="32"/>
          <w:szCs w:val="32"/>
        </w:rPr>
        <w:t>产品名称</w:t>
      </w:r>
    </w:p>
    <w:p w:rsidR="005D0947" w:rsidRDefault="00AE56B5">
      <w:pPr>
        <w:snapToGrid w:val="0"/>
        <w:spacing w:line="520" w:lineRule="exact"/>
        <w:ind w:firstLineChars="200" w:firstLine="640"/>
        <w:rPr>
          <w:rFonts w:eastAsia="仿宋_GB2312"/>
          <w:sz w:val="32"/>
          <w:szCs w:val="32"/>
        </w:rPr>
      </w:pPr>
      <w:r>
        <w:rPr>
          <w:rFonts w:eastAsia="仿宋_GB2312"/>
          <w:bCs/>
          <w:color w:val="000000"/>
          <w:sz w:val="32"/>
          <w:szCs w:val="32"/>
        </w:rPr>
        <w:t>产品名称应符合《医疗器械通用名称命名规则》</w:t>
      </w:r>
      <w:r>
        <w:rPr>
          <w:rFonts w:eastAsia="仿宋_GB2312" w:hint="eastAsia"/>
          <w:bCs/>
          <w:color w:val="000000"/>
          <w:sz w:val="32"/>
          <w:szCs w:val="32"/>
        </w:rPr>
        <w:t>、</w:t>
      </w:r>
      <w:r>
        <w:rPr>
          <w:rFonts w:eastAsia="仿宋_GB2312"/>
          <w:bCs/>
          <w:color w:val="000000"/>
          <w:sz w:val="32"/>
          <w:szCs w:val="32"/>
        </w:rPr>
        <w:t>《</w:t>
      </w:r>
      <w:r>
        <w:rPr>
          <w:rFonts w:eastAsia="仿宋_GB2312" w:hint="eastAsia"/>
          <w:bCs/>
          <w:color w:val="000000"/>
          <w:sz w:val="32"/>
          <w:szCs w:val="32"/>
        </w:rPr>
        <w:t>医用成像器械通用名称命名指导原则</w:t>
      </w:r>
      <w:r>
        <w:rPr>
          <w:rFonts w:eastAsia="仿宋_GB2312"/>
          <w:bCs/>
          <w:color w:val="000000"/>
          <w:sz w:val="32"/>
          <w:szCs w:val="32"/>
        </w:rPr>
        <w:t>》</w:t>
      </w:r>
      <w:r>
        <w:rPr>
          <w:rFonts w:eastAsia="仿宋_GB2312" w:hint="eastAsia"/>
          <w:bCs/>
          <w:color w:val="000000"/>
          <w:sz w:val="32"/>
          <w:szCs w:val="32"/>
        </w:rPr>
        <w:t>的要求</w:t>
      </w:r>
      <w:r>
        <w:rPr>
          <w:rFonts w:eastAsia="仿宋_GB2312" w:hint="eastAsia"/>
          <w:sz w:val="32"/>
          <w:szCs w:val="32"/>
        </w:rPr>
        <w:t>。建议使用“内窥镜用活检袋”、“内窥镜用标本取物袋”作为产品名称核心词，以使用形式、提供方式等作为特征词，例如，一次性使用内窥镜用活检袋、一次性使用内窥镜用标本取物袋。</w:t>
      </w: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w:t>
      </w:r>
      <w:r>
        <w:rPr>
          <w:rFonts w:eastAsia="仿宋_GB2312" w:hint="eastAsia"/>
          <w:color w:val="000000"/>
          <w:sz w:val="32"/>
          <w:szCs w:val="32"/>
        </w:rPr>
        <w:t>注册单元划分的原则和实例</w:t>
      </w:r>
    </w:p>
    <w:p w:rsidR="005D0947" w:rsidRDefault="00AE56B5">
      <w:pPr>
        <w:spacing w:line="520" w:lineRule="exact"/>
        <w:ind w:firstLineChars="200" w:firstLine="640"/>
        <w:rPr>
          <w:rFonts w:eastAsia="仿宋_GB2312"/>
          <w:color w:val="000000"/>
          <w:kern w:val="0"/>
          <w:sz w:val="32"/>
          <w:szCs w:val="32"/>
        </w:rPr>
      </w:pPr>
      <w:r>
        <w:rPr>
          <w:rFonts w:eastAsia="仿宋_GB2312" w:hint="eastAsia"/>
          <w:color w:val="000000"/>
          <w:sz w:val="32"/>
          <w:szCs w:val="32"/>
        </w:rPr>
        <w:t>活检袋产品</w:t>
      </w:r>
      <w:r>
        <w:rPr>
          <w:rFonts w:eastAsia="仿宋_GB2312"/>
          <w:color w:val="000000"/>
          <w:sz w:val="32"/>
          <w:szCs w:val="32"/>
        </w:rPr>
        <w:t>注册单元划分</w:t>
      </w:r>
      <w:r>
        <w:rPr>
          <w:rFonts w:eastAsia="仿宋_GB2312" w:hint="eastAsia"/>
          <w:color w:val="000000"/>
          <w:sz w:val="32"/>
          <w:szCs w:val="32"/>
        </w:rPr>
        <w:t>应符合《医疗器械注册与备案管理办法》及《医疗器械注册单元划分指导原则》的要求，</w:t>
      </w:r>
      <w:r>
        <w:rPr>
          <w:rFonts w:eastAsia="仿宋_GB2312" w:hint="eastAsia"/>
          <w:sz w:val="32"/>
          <w:szCs w:val="32"/>
        </w:rPr>
        <w:t>并着重考虑产品的工作原理、结构组成、性能指标、适用范围等因</w:t>
      </w:r>
      <w:r>
        <w:rPr>
          <w:rFonts w:eastAsia="仿宋_GB2312" w:hint="eastAsia"/>
          <w:sz w:val="32"/>
          <w:szCs w:val="32"/>
        </w:rPr>
        <w:lastRenderedPageBreak/>
        <w:t>素，</w:t>
      </w:r>
      <w:r>
        <w:rPr>
          <w:rFonts w:eastAsia="仿宋_GB2312" w:hint="eastAsia"/>
          <w:color w:val="000000"/>
          <w:sz w:val="32"/>
          <w:szCs w:val="32"/>
        </w:rPr>
        <w:t>如：</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活检袋袋体材质不同的</w:t>
      </w:r>
      <w:bookmarkStart w:id="2" w:name="OLE_LINK19"/>
      <w:bookmarkStart w:id="3" w:name="OLE_LINK20"/>
      <w:r>
        <w:rPr>
          <w:rFonts w:eastAsia="仿宋_GB2312" w:hint="eastAsia"/>
          <w:color w:val="000000"/>
          <w:sz w:val="32"/>
          <w:szCs w:val="32"/>
        </w:rPr>
        <w:t>产品建议划分为不同注</w:t>
      </w:r>
      <w:bookmarkEnd w:id="2"/>
      <w:bookmarkEnd w:id="3"/>
      <w:r>
        <w:rPr>
          <w:rFonts w:eastAsia="仿宋_GB2312" w:hint="eastAsia"/>
          <w:color w:val="000000"/>
          <w:sz w:val="32"/>
          <w:szCs w:val="32"/>
        </w:rPr>
        <w:t>册单元。</w:t>
      </w:r>
    </w:p>
    <w:p w:rsidR="005D0947" w:rsidRDefault="00AE56B5">
      <w:pPr>
        <w:snapToGrid w:val="0"/>
        <w:spacing w:line="520" w:lineRule="exact"/>
        <w:ind w:firstLineChars="200" w:firstLine="640"/>
        <w:outlineLvl w:val="1"/>
        <w:rPr>
          <w:rFonts w:eastAsia="楷体_GB2312"/>
          <w:color w:val="000000"/>
          <w:sz w:val="32"/>
          <w:szCs w:val="32"/>
        </w:rPr>
      </w:pPr>
      <w:r>
        <w:rPr>
          <w:rFonts w:eastAsia="楷体_GB2312" w:hint="eastAsia"/>
          <w:color w:val="000000"/>
          <w:sz w:val="32"/>
          <w:szCs w:val="32"/>
        </w:rPr>
        <w:t>（三）综述资料</w:t>
      </w: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器械及操作原理描述</w:t>
      </w:r>
    </w:p>
    <w:p w:rsidR="005D0947" w:rsidRDefault="00AE56B5">
      <w:pPr>
        <w:snapToGrid w:val="0"/>
        <w:spacing w:line="520" w:lineRule="exact"/>
        <w:ind w:firstLineChars="200" w:firstLine="640"/>
        <w:rPr>
          <w:rFonts w:eastAsia="仿宋_GB2312"/>
          <w:sz w:val="32"/>
          <w:szCs w:val="32"/>
        </w:rPr>
      </w:pPr>
      <w:r>
        <w:rPr>
          <w:rFonts w:eastAsia="仿宋_GB2312" w:hint="eastAsia"/>
          <w:sz w:val="32"/>
          <w:szCs w:val="32"/>
        </w:rPr>
        <w:t>在腔镜手术中，</w:t>
      </w:r>
      <w:r>
        <w:rPr>
          <w:rFonts w:eastAsia="仿宋_GB2312" w:hint="eastAsia"/>
          <w:sz w:val="32"/>
          <w:szCs w:val="32"/>
        </w:rPr>
        <w:t>将活检袋通过手术通道送到体内后进行打开，然后将体内的活检样本或者人体组织和</w:t>
      </w:r>
      <w:r>
        <w:rPr>
          <w:rFonts w:eastAsia="仿宋_GB2312" w:hint="eastAsia"/>
          <w:sz w:val="32"/>
          <w:szCs w:val="32"/>
        </w:rPr>
        <w:t>/</w:t>
      </w:r>
      <w:r>
        <w:rPr>
          <w:rFonts w:eastAsia="仿宋_GB2312" w:hint="eastAsia"/>
          <w:sz w:val="32"/>
          <w:szCs w:val="32"/>
        </w:rPr>
        <w:t>或活检样本放入到活检袋中后，收紧拉绳后取出体外。以下以带输送装置的产品为例。</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1.1</w:t>
      </w:r>
      <w:r>
        <w:rPr>
          <w:rFonts w:eastAsia="仿宋_GB2312" w:hint="eastAsia"/>
          <w:color w:val="000000"/>
          <w:sz w:val="32"/>
          <w:szCs w:val="32"/>
        </w:rPr>
        <w:t>将活检袋通过手术通道送到体内，如图</w:t>
      </w:r>
      <w:r>
        <w:rPr>
          <w:rFonts w:eastAsia="仿宋_GB2312" w:hint="eastAsia"/>
          <w:color w:val="000000"/>
          <w:sz w:val="32"/>
          <w:szCs w:val="32"/>
        </w:rPr>
        <w:t>1</w:t>
      </w:r>
      <w:r>
        <w:rPr>
          <w:rFonts w:eastAsia="仿宋_GB2312" w:hint="eastAsia"/>
          <w:color w:val="000000"/>
          <w:sz w:val="32"/>
          <w:szCs w:val="32"/>
        </w:rPr>
        <w:t>所示。</w:t>
      </w:r>
    </w:p>
    <w:p w:rsidR="005D0947" w:rsidRDefault="00AE56B5">
      <w:pPr>
        <w:spacing w:line="520" w:lineRule="exact"/>
        <w:ind w:firstLineChars="200" w:firstLine="640"/>
        <w:rPr>
          <w:rFonts w:eastAsia="仿宋_GB2312"/>
          <w:color w:val="000000"/>
          <w:sz w:val="32"/>
          <w:szCs w:val="32"/>
        </w:rPr>
      </w:pPr>
      <w:r>
        <w:rPr>
          <w:rFonts w:eastAsia="仿宋_GB2312"/>
          <w:noProof/>
          <w:color w:val="000000"/>
          <w:sz w:val="32"/>
          <w:szCs w:val="32"/>
        </w:rPr>
        <w:drawing>
          <wp:anchor distT="0" distB="0" distL="114300" distR="114300" simplePos="0" relativeHeight="251662336" behindDoc="0" locked="0" layoutInCell="1" allowOverlap="1">
            <wp:simplePos x="0" y="0"/>
            <wp:positionH relativeFrom="column">
              <wp:posOffset>1466850</wp:posOffset>
            </wp:positionH>
            <wp:positionV relativeFrom="paragraph">
              <wp:posOffset>146685</wp:posOffset>
            </wp:positionV>
            <wp:extent cx="2865120" cy="1503045"/>
            <wp:effectExtent l="0" t="0" r="0" b="1905"/>
            <wp:wrapNone/>
            <wp:docPr id="10" name="图片 10" descr="C:\Users\Administrator\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未标题-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865256" cy="1503046"/>
                    </a:xfrm>
                    <a:prstGeom prst="rect">
                      <a:avLst/>
                    </a:prstGeom>
                    <a:noFill/>
                    <a:ln>
                      <a:noFill/>
                    </a:ln>
                  </pic:spPr>
                </pic:pic>
              </a:graphicData>
            </a:graphic>
          </wp:anchor>
        </w:drawing>
      </w:r>
      <w:r>
        <w:rPr>
          <w:rFonts w:eastAsia="仿宋_GB2312" w:hint="eastAsia"/>
          <w:color w:val="000000"/>
          <w:sz w:val="32"/>
          <w:szCs w:val="32"/>
        </w:rPr>
        <w:t xml:space="preserve">                                              </w:t>
      </w:r>
    </w:p>
    <w:p w:rsidR="005D0947" w:rsidRDefault="005D0947">
      <w:pPr>
        <w:spacing w:line="520" w:lineRule="exact"/>
        <w:ind w:firstLineChars="200" w:firstLine="640"/>
        <w:rPr>
          <w:rFonts w:eastAsia="仿宋_GB2312"/>
          <w:color w:val="000000"/>
          <w:sz w:val="32"/>
          <w:szCs w:val="32"/>
        </w:rPr>
      </w:pPr>
    </w:p>
    <w:p w:rsidR="005D0947" w:rsidRDefault="005D0947">
      <w:pPr>
        <w:spacing w:line="520" w:lineRule="exact"/>
        <w:ind w:firstLineChars="200" w:firstLine="640"/>
        <w:rPr>
          <w:rFonts w:eastAsia="仿宋_GB2312"/>
          <w:color w:val="000000"/>
          <w:sz w:val="32"/>
          <w:szCs w:val="32"/>
        </w:rPr>
      </w:pPr>
    </w:p>
    <w:p w:rsidR="005D0947" w:rsidRDefault="005D0947">
      <w:pPr>
        <w:spacing w:line="520" w:lineRule="exact"/>
        <w:ind w:firstLineChars="200" w:firstLine="640"/>
        <w:rPr>
          <w:rFonts w:eastAsia="仿宋_GB2312"/>
          <w:color w:val="000000"/>
          <w:sz w:val="32"/>
          <w:szCs w:val="32"/>
        </w:rPr>
      </w:pPr>
    </w:p>
    <w:p w:rsidR="005D0947" w:rsidRDefault="005D0947">
      <w:pPr>
        <w:spacing w:line="520" w:lineRule="exact"/>
        <w:ind w:firstLineChars="200" w:firstLine="640"/>
        <w:rPr>
          <w:rFonts w:eastAsia="仿宋_GB2312"/>
          <w:color w:val="000000"/>
          <w:sz w:val="32"/>
          <w:szCs w:val="32"/>
        </w:rPr>
      </w:pPr>
    </w:p>
    <w:p w:rsidR="005D0947" w:rsidRDefault="00AE56B5">
      <w:pPr>
        <w:spacing w:line="520" w:lineRule="exact"/>
        <w:jc w:val="center"/>
        <w:rPr>
          <w:rFonts w:ascii="黑体" w:eastAsia="黑体" w:hAnsi="黑体"/>
          <w:color w:val="000000"/>
          <w:sz w:val="28"/>
          <w:szCs w:val="32"/>
        </w:rPr>
      </w:pPr>
      <w:bookmarkStart w:id="4" w:name="OLE_LINK29"/>
      <w:bookmarkStart w:id="5" w:name="OLE_LINK41"/>
      <w:r>
        <w:rPr>
          <w:rFonts w:ascii="黑体" w:eastAsia="黑体" w:hAnsi="黑体" w:hint="eastAsia"/>
          <w:color w:val="000000"/>
          <w:sz w:val="28"/>
          <w:szCs w:val="32"/>
        </w:rPr>
        <w:t>图</w:t>
      </w:r>
      <w:r>
        <w:rPr>
          <w:rFonts w:eastAsia="黑体"/>
          <w:color w:val="000000"/>
          <w:sz w:val="28"/>
          <w:szCs w:val="32"/>
        </w:rPr>
        <w:t>1</w:t>
      </w:r>
      <w:r>
        <w:rPr>
          <w:rFonts w:ascii="黑体" w:eastAsia="黑体" w:hAnsi="黑体" w:hint="eastAsia"/>
          <w:color w:val="000000"/>
          <w:sz w:val="28"/>
          <w:szCs w:val="32"/>
        </w:rPr>
        <w:t xml:space="preserve"> </w:t>
      </w:r>
      <w:r>
        <w:rPr>
          <w:rFonts w:ascii="黑体" w:eastAsia="黑体" w:hAnsi="黑体" w:hint="eastAsia"/>
          <w:color w:val="000000"/>
          <w:sz w:val="28"/>
          <w:szCs w:val="32"/>
        </w:rPr>
        <w:t>活检袋进入体内</w:t>
      </w:r>
    </w:p>
    <w:p w:rsidR="005D0947" w:rsidRDefault="005D0947">
      <w:pPr>
        <w:spacing w:line="520" w:lineRule="exact"/>
        <w:ind w:firstLineChars="200" w:firstLine="560"/>
        <w:jc w:val="center"/>
        <w:rPr>
          <w:rFonts w:ascii="黑体" w:eastAsia="黑体" w:hAnsi="黑体"/>
          <w:color w:val="000000"/>
          <w:sz w:val="28"/>
          <w:szCs w:val="32"/>
        </w:rPr>
      </w:pPr>
    </w:p>
    <w:bookmarkEnd w:id="4"/>
    <w:bookmarkEnd w:id="5"/>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1.2</w:t>
      </w:r>
      <w:r>
        <w:rPr>
          <w:rFonts w:eastAsia="仿宋_GB2312" w:hint="eastAsia"/>
          <w:color w:val="000000"/>
          <w:sz w:val="32"/>
          <w:szCs w:val="32"/>
        </w:rPr>
        <w:t>然后将活检袋展开，如图</w:t>
      </w:r>
      <w:r>
        <w:rPr>
          <w:rFonts w:eastAsia="仿宋_GB2312" w:hint="eastAsia"/>
          <w:color w:val="000000"/>
          <w:sz w:val="32"/>
          <w:szCs w:val="32"/>
        </w:rPr>
        <w:t>2</w:t>
      </w:r>
      <w:r>
        <w:rPr>
          <w:rFonts w:eastAsia="仿宋_GB2312" w:hint="eastAsia"/>
          <w:color w:val="000000"/>
          <w:sz w:val="32"/>
          <w:szCs w:val="32"/>
        </w:rPr>
        <w:t>所示。</w:t>
      </w:r>
    </w:p>
    <w:p w:rsidR="005D0947" w:rsidRDefault="00AE56B5">
      <w:pPr>
        <w:spacing w:line="520" w:lineRule="exact"/>
        <w:ind w:firstLineChars="200" w:firstLine="640"/>
        <w:rPr>
          <w:rFonts w:eastAsia="仿宋_GB2312"/>
          <w:color w:val="000000"/>
          <w:sz w:val="32"/>
          <w:szCs w:val="32"/>
        </w:rPr>
      </w:pPr>
      <w:r>
        <w:rPr>
          <w:rFonts w:eastAsia="仿宋_GB2312"/>
          <w:noProof/>
          <w:color w:val="000000"/>
          <w:sz w:val="32"/>
          <w:szCs w:val="32"/>
        </w:rPr>
        <w:drawing>
          <wp:anchor distT="0" distB="0" distL="114300" distR="114300" simplePos="0" relativeHeight="251661312" behindDoc="0" locked="0" layoutInCell="1" allowOverlap="1">
            <wp:simplePos x="0" y="0"/>
            <wp:positionH relativeFrom="column">
              <wp:posOffset>1310005</wp:posOffset>
            </wp:positionH>
            <wp:positionV relativeFrom="paragraph">
              <wp:posOffset>111760</wp:posOffset>
            </wp:positionV>
            <wp:extent cx="3023235" cy="1590040"/>
            <wp:effectExtent l="0" t="0" r="0" b="0"/>
            <wp:wrapNone/>
            <wp:docPr id="8" name="图片 8" descr="C:\Users\Administrator\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023235" cy="1590040"/>
                    </a:xfrm>
                    <a:prstGeom prst="rect">
                      <a:avLst/>
                    </a:prstGeom>
                    <a:noFill/>
                    <a:ln>
                      <a:noFill/>
                    </a:ln>
                  </pic:spPr>
                </pic:pic>
              </a:graphicData>
            </a:graphic>
          </wp:anchor>
        </w:drawing>
      </w:r>
    </w:p>
    <w:p w:rsidR="005D0947" w:rsidRDefault="005D0947">
      <w:pPr>
        <w:spacing w:line="520" w:lineRule="exact"/>
        <w:ind w:firstLineChars="200" w:firstLine="640"/>
        <w:rPr>
          <w:rFonts w:eastAsia="仿宋_GB2312"/>
          <w:color w:val="000000"/>
          <w:sz w:val="32"/>
          <w:szCs w:val="32"/>
        </w:rPr>
      </w:pPr>
    </w:p>
    <w:p w:rsidR="005D0947" w:rsidRDefault="005D0947">
      <w:pPr>
        <w:spacing w:line="520" w:lineRule="exact"/>
        <w:ind w:firstLineChars="200" w:firstLine="640"/>
        <w:rPr>
          <w:rFonts w:eastAsia="仿宋_GB2312"/>
          <w:color w:val="000000"/>
          <w:sz w:val="32"/>
          <w:szCs w:val="32"/>
        </w:rPr>
      </w:pPr>
    </w:p>
    <w:p w:rsidR="005D0947" w:rsidRDefault="005D0947">
      <w:pPr>
        <w:spacing w:line="520" w:lineRule="exact"/>
        <w:ind w:firstLineChars="200" w:firstLine="640"/>
        <w:rPr>
          <w:rFonts w:eastAsia="仿宋_GB2312"/>
          <w:color w:val="000000"/>
          <w:sz w:val="32"/>
          <w:szCs w:val="32"/>
        </w:rPr>
      </w:pPr>
    </w:p>
    <w:p w:rsidR="005D0947" w:rsidRDefault="005D0947">
      <w:pPr>
        <w:jc w:val="center"/>
        <w:rPr>
          <w:rFonts w:eastAsia="仿宋_GB2312"/>
          <w:color w:val="000000"/>
          <w:sz w:val="32"/>
          <w:szCs w:val="32"/>
        </w:rPr>
      </w:pPr>
    </w:p>
    <w:p w:rsidR="005D0947" w:rsidRDefault="00AE56B5">
      <w:pPr>
        <w:spacing w:line="520" w:lineRule="exact"/>
        <w:jc w:val="center"/>
        <w:rPr>
          <w:rFonts w:ascii="黑体" w:eastAsia="黑体" w:hAnsi="黑体"/>
          <w:color w:val="000000"/>
          <w:sz w:val="28"/>
          <w:szCs w:val="32"/>
        </w:rPr>
      </w:pPr>
      <w:r>
        <w:rPr>
          <w:rFonts w:ascii="黑体" w:eastAsia="黑体" w:hAnsi="黑体" w:hint="eastAsia"/>
          <w:color w:val="000000"/>
          <w:sz w:val="28"/>
          <w:szCs w:val="32"/>
        </w:rPr>
        <w:t>图</w:t>
      </w:r>
      <w:r>
        <w:rPr>
          <w:rFonts w:eastAsia="黑体"/>
          <w:color w:val="000000"/>
          <w:sz w:val="28"/>
          <w:szCs w:val="32"/>
        </w:rPr>
        <w:t>2</w:t>
      </w:r>
      <w:r>
        <w:rPr>
          <w:rFonts w:ascii="黑体" w:eastAsia="黑体" w:hAnsi="黑体" w:hint="eastAsia"/>
          <w:color w:val="000000"/>
          <w:sz w:val="28"/>
          <w:szCs w:val="32"/>
        </w:rPr>
        <w:t xml:space="preserve"> </w:t>
      </w:r>
      <w:r>
        <w:rPr>
          <w:rFonts w:ascii="黑体" w:eastAsia="黑体" w:hAnsi="黑体" w:hint="eastAsia"/>
          <w:color w:val="000000"/>
          <w:sz w:val="28"/>
          <w:szCs w:val="32"/>
        </w:rPr>
        <w:t>展开活检袋</w:t>
      </w:r>
    </w:p>
    <w:p w:rsidR="005D0947" w:rsidRDefault="005D0947">
      <w:pPr>
        <w:spacing w:line="520" w:lineRule="exact"/>
        <w:ind w:firstLineChars="200" w:firstLine="560"/>
        <w:jc w:val="center"/>
        <w:rPr>
          <w:rFonts w:ascii="黑体" w:eastAsia="黑体" w:hAnsi="黑体"/>
          <w:color w:val="000000"/>
          <w:sz w:val="28"/>
          <w:szCs w:val="32"/>
        </w:rPr>
      </w:pP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1.3</w:t>
      </w:r>
      <w:r>
        <w:rPr>
          <w:rFonts w:eastAsia="仿宋_GB2312" w:hint="eastAsia"/>
          <w:color w:val="000000"/>
          <w:sz w:val="32"/>
          <w:szCs w:val="32"/>
        </w:rPr>
        <w:t>将人体组织和</w:t>
      </w:r>
      <w:r>
        <w:rPr>
          <w:rFonts w:eastAsia="仿宋_GB2312" w:hint="eastAsia"/>
          <w:color w:val="000000"/>
          <w:sz w:val="32"/>
          <w:szCs w:val="32"/>
        </w:rPr>
        <w:t>/</w:t>
      </w:r>
      <w:r>
        <w:rPr>
          <w:rFonts w:eastAsia="仿宋_GB2312" w:hint="eastAsia"/>
          <w:color w:val="000000"/>
          <w:sz w:val="32"/>
          <w:szCs w:val="32"/>
        </w:rPr>
        <w:t>或活检样本放入到活检袋中后，收紧拉</w:t>
      </w:r>
      <w:r>
        <w:rPr>
          <w:rFonts w:eastAsia="仿宋_GB2312" w:hint="eastAsia"/>
          <w:color w:val="000000"/>
          <w:sz w:val="32"/>
          <w:szCs w:val="32"/>
        </w:rPr>
        <w:lastRenderedPageBreak/>
        <w:t>绳后取出体外，如图</w:t>
      </w:r>
      <w:r>
        <w:rPr>
          <w:rFonts w:eastAsia="仿宋_GB2312" w:hint="eastAsia"/>
          <w:color w:val="000000"/>
          <w:sz w:val="32"/>
          <w:szCs w:val="32"/>
        </w:rPr>
        <w:t>3</w:t>
      </w:r>
      <w:r>
        <w:rPr>
          <w:rFonts w:eastAsia="仿宋_GB2312" w:hint="eastAsia"/>
          <w:color w:val="000000"/>
          <w:sz w:val="32"/>
          <w:szCs w:val="32"/>
        </w:rPr>
        <w:t>所示。</w:t>
      </w:r>
    </w:p>
    <w:p w:rsidR="005D0947" w:rsidRDefault="00AE56B5">
      <w:pPr>
        <w:jc w:val="center"/>
        <w:rPr>
          <w:rFonts w:eastAsia="仿宋_GB2312"/>
          <w:color w:val="000000"/>
          <w:sz w:val="32"/>
          <w:szCs w:val="32"/>
        </w:rPr>
      </w:pPr>
      <w:r>
        <w:rPr>
          <w:rFonts w:eastAsia="仿宋_GB2312"/>
          <w:noProof/>
          <w:color w:val="000000"/>
          <w:sz w:val="32"/>
          <w:szCs w:val="32"/>
        </w:rPr>
        <w:drawing>
          <wp:anchor distT="0" distB="0" distL="114300" distR="114300" simplePos="0" relativeHeight="251660288" behindDoc="0" locked="0" layoutInCell="1" allowOverlap="1">
            <wp:simplePos x="0" y="0"/>
            <wp:positionH relativeFrom="column">
              <wp:posOffset>1323975</wp:posOffset>
            </wp:positionH>
            <wp:positionV relativeFrom="paragraph">
              <wp:posOffset>74295</wp:posOffset>
            </wp:positionV>
            <wp:extent cx="3102610" cy="1391285"/>
            <wp:effectExtent l="0" t="0" r="2540" b="0"/>
            <wp:wrapNone/>
            <wp:docPr id="5" name="图片 5" descr="C:\Users\Administrator\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图片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02610" cy="1391285"/>
                    </a:xfrm>
                    <a:prstGeom prst="rect">
                      <a:avLst/>
                    </a:prstGeom>
                    <a:noFill/>
                    <a:ln>
                      <a:noFill/>
                    </a:ln>
                  </pic:spPr>
                </pic:pic>
              </a:graphicData>
            </a:graphic>
          </wp:anchor>
        </w:drawing>
      </w:r>
      <w:r>
        <w:rPr>
          <w:rFonts w:eastAsia="仿宋_GB2312" w:hint="eastAsia"/>
          <w:color w:val="000000"/>
          <w:sz w:val="32"/>
          <w:szCs w:val="32"/>
        </w:rPr>
        <w:t xml:space="preserve">                      </w:t>
      </w:r>
    </w:p>
    <w:p w:rsidR="005D0947" w:rsidRDefault="005D0947">
      <w:pPr>
        <w:spacing w:line="520" w:lineRule="exact"/>
        <w:ind w:firstLineChars="200" w:firstLine="640"/>
        <w:jc w:val="center"/>
        <w:rPr>
          <w:rFonts w:eastAsia="仿宋_GB2312"/>
          <w:color w:val="000000"/>
          <w:sz w:val="32"/>
          <w:szCs w:val="32"/>
        </w:rPr>
      </w:pPr>
    </w:p>
    <w:p w:rsidR="005D0947" w:rsidRDefault="005D0947">
      <w:pPr>
        <w:spacing w:line="520" w:lineRule="exact"/>
        <w:ind w:firstLineChars="200" w:firstLine="640"/>
        <w:jc w:val="center"/>
        <w:rPr>
          <w:rFonts w:eastAsia="仿宋_GB2312"/>
          <w:color w:val="000000"/>
          <w:sz w:val="32"/>
          <w:szCs w:val="32"/>
        </w:rPr>
      </w:pPr>
    </w:p>
    <w:p w:rsidR="005D0947" w:rsidRDefault="005D0947">
      <w:pPr>
        <w:spacing w:line="520" w:lineRule="exact"/>
        <w:ind w:firstLineChars="200" w:firstLine="640"/>
        <w:jc w:val="center"/>
        <w:rPr>
          <w:rFonts w:eastAsia="仿宋_GB2312"/>
          <w:color w:val="000000"/>
          <w:sz w:val="32"/>
          <w:szCs w:val="32"/>
        </w:rPr>
      </w:pPr>
    </w:p>
    <w:p w:rsidR="005D0947" w:rsidRDefault="00AE56B5">
      <w:pPr>
        <w:spacing w:line="520" w:lineRule="exact"/>
        <w:jc w:val="center"/>
        <w:rPr>
          <w:rFonts w:ascii="黑体" w:eastAsia="黑体" w:hAnsi="黑体"/>
          <w:color w:val="000000"/>
          <w:sz w:val="28"/>
          <w:szCs w:val="32"/>
        </w:rPr>
      </w:pPr>
      <w:r>
        <w:rPr>
          <w:rFonts w:ascii="黑体" w:eastAsia="黑体" w:hAnsi="黑体" w:hint="eastAsia"/>
          <w:color w:val="000000"/>
          <w:sz w:val="28"/>
          <w:szCs w:val="32"/>
        </w:rPr>
        <w:t>图</w:t>
      </w:r>
      <w:r>
        <w:rPr>
          <w:rFonts w:eastAsia="黑体"/>
          <w:color w:val="000000"/>
          <w:sz w:val="28"/>
          <w:szCs w:val="32"/>
        </w:rPr>
        <w:t>3</w:t>
      </w:r>
      <w:r>
        <w:rPr>
          <w:rFonts w:ascii="黑体" w:eastAsia="黑体" w:hAnsi="黑体" w:hint="eastAsia"/>
          <w:color w:val="000000"/>
          <w:sz w:val="28"/>
          <w:szCs w:val="32"/>
        </w:rPr>
        <w:t xml:space="preserve"> </w:t>
      </w:r>
      <w:r>
        <w:rPr>
          <w:rFonts w:ascii="黑体" w:eastAsia="黑体" w:hAnsi="黑体" w:hint="eastAsia"/>
          <w:color w:val="000000"/>
          <w:sz w:val="28"/>
          <w:szCs w:val="32"/>
        </w:rPr>
        <w:t>收紧拉绳</w:t>
      </w:r>
    </w:p>
    <w:p w:rsidR="005D0947" w:rsidRDefault="005D0947">
      <w:pPr>
        <w:spacing w:line="520" w:lineRule="exact"/>
        <w:ind w:firstLineChars="200" w:firstLine="560"/>
        <w:jc w:val="center"/>
        <w:rPr>
          <w:rFonts w:ascii="黑体" w:eastAsia="黑体" w:hAnsi="黑体"/>
          <w:color w:val="000000"/>
          <w:sz w:val="28"/>
          <w:szCs w:val="32"/>
        </w:rPr>
      </w:pP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产品结构及组成</w:t>
      </w:r>
    </w:p>
    <w:p w:rsidR="005D0947" w:rsidRDefault="00AE56B5">
      <w:pPr>
        <w:spacing w:line="520" w:lineRule="exact"/>
        <w:ind w:firstLineChars="200" w:firstLine="640"/>
        <w:rPr>
          <w:rFonts w:eastAsia="仿宋_GB2312"/>
          <w:sz w:val="32"/>
          <w:szCs w:val="32"/>
        </w:rPr>
      </w:pPr>
      <w:r>
        <w:rPr>
          <w:rFonts w:eastAsia="仿宋_GB2312" w:hint="eastAsia"/>
          <w:sz w:val="32"/>
          <w:szCs w:val="32"/>
        </w:rPr>
        <w:t>明确产品的结构及组成，并提供相应的结构图示。在图示中标识各部件的名称、重要尺寸信息及测量位置。</w:t>
      </w:r>
    </w:p>
    <w:p w:rsidR="005D0947" w:rsidRDefault="00AE56B5">
      <w:pPr>
        <w:spacing w:line="520" w:lineRule="exact"/>
        <w:ind w:firstLineChars="200" w:firstLine="640"/>
        <w:rPr>
          <w:rFonts w:eastAsia="仿宋_GB2312"/>
          <w:color w:val="000000"/>
          <w:sz w:val="32"/>
          <w:szCs w:val="32"/>
        </w:rPr>
      </w:pPr>
      <w:r>
        <w:rPr>
          <w:rFonts w:eastAsia="仿宋_GB2312"/>
          <w:color w:val="000000"/>
          <w:sz w:val="32"/>
          <w:szCs w:val="32"/>
        </w:rPr>
        <w:t>活检袋产品</w:t>
      </w:r>
      <w:r>
        <w:rPr>
          <w:rFonts w:eastAsia="仿宋_GB2312" w:hint="eastAsia"/>
          <w:color w:val="000000"/>
          <w:sz w:val="32"/>
          <w:szCs w:val="32"/>
        </w:rPr>
        <w:t>通常分为有输送装置型和无输送装置型。</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有输送装置型</w:t>
      </w:r>
      <w:r>
        <w:rPr>
          <w:rFonts w:eastAsia="仿宋_GB2312"/>
          <w:color w:val="000000"/>
          <w:sz w:val="32"/>
          <w:szCs w:val="32"/>
        </w:rPr>
        <w:t>活检袋</w:t>
      </w:r>
      <w:r>
        <w:rPr>
          <w:rFonts w:eastAsia="仿宋_GB2312" w:hint="eastAsia"/>
          <w:color w:val="000000"/>
          <w:sz w:val="32"/>
          <w:szCs w:val="32"/>
        </w:rPr>
        <w:t>通常由张开装置、袋体、手柄、拉绳、拉环和输送装置（内套管，外套管）组成，如图</w:t>
      </w:r>
      <w:r>
        <w:rPr>
          <w:rFonts w:eastAsia="仿宋_GB2312" w:hint="eastAsia"/>
          <w:color w:val="000000"/>
          <w:sz w:val="32"/>
          <w:szCs w:val="32"/>
        </w:rPr>
        <w:t>4</w:t>
      </w:r>
      <w:r>
        <w:rPr>
          <w:rFonts w:eastAsia="仿宋_GB2312" w:hint="eastAsia"/>
          <w:color w:val="000000"/>
          <w:sz w:val="32"/>
          <w:szCs w:val="32"/>
        </w:rPr>
        <w:t>所示。</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无输送装置型</w:t>
      </w:r>
      <w:r>
        <w:rPr>
          <w:rFonts w:eastAsia="仿宋_GB2312"/>
          <w:color w:val="000000"/>
          <w:sz w:val="32"/>
          <w:szCs w:val="32"/>
        </w:rPr>
        <w:t>活检袋</w:t>
      </w:r>
      <w:r>
        <w:rPr>
          <w:rFonts w:eastAsia="仿宋_GB2312" w:hint="eastAsia"/>
          <w:color w:val="000000"/>
          <w:sz w:val="32"/>
          <w:szCs w:val="32"/>
        </w:rPr>
        <w:t>通常由袋体和拉绳组成，如图</w:t>
      </w:r>
      <w:r>
        <w:rPr>
          <w:rFonts w:eastAsia="仿宋_GB2312" w:hint="eastAsia"/>
          <w:color w:val="000000"/>
          <w:sz w:val="32"/>
          <w:szCs w:val="32"/>
        </w:rPr>
        <w:t>5</w:t>
      </w:r>
      <w:r>
        <w:rPr>
          <w:rFonts w:eastAsia="仿宋_GB2312" w:hint="eastAsia"/>
          <w:color w:val="000000"/>
          <w:sz w:val="32"/>
          <w:szCs w:val="32"/>
        </w:rPr>
        <w:t>所示。</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本指导原则中的</w:t>
      </w:r>
      <w:r>
        <w:rPr>
          <w:rFonts w:eastAsia="仿宋_GB2312"/>
          <w:color w:val="000000"/>
          <w:sz w:val="32"/>
          <w:szCs w:val="32"/>
        </w:rPr>
        <w:t>图示仅为示例，实际不同厂家结构设计</w:t>
      </w:r>
      <w:r>
        <w:rPr>
          <w:rFonts w:eastAsia="仿宋_GB2312" w:hint="eastAsia"/>
          <w:color w:val="000000"/>
          <w:sz w:val="32"/>
          <w:szCs w:val="32"/>
        </w:rPr>
        <w:t>可能</w:t>
      </w:r>
      <w:r>
        <w:rPr>
          <w:rFonts w:eastAsia="仿宋_GB2312"/>
          <w:color w:val="000000"/>
          <w:sz w:val="32"/>
          <w:szCs w:val="32"/>
        </w:rPr>
        <w:t>有所不同。</w:t>
      </w:r>
    </w:p>
    <w:p w:rsidR="005D0947" w:rsidRDefault="00AE56B5">
      <w:pPr>
        <w:spacing w:line="520" w:lineRule="exact"/>
        <w:ind w:firstLineChars="200" w:firstLine="640"/>
        <w:rPr>
          <w:rFonts w:eastAsia="仿宋_GB2312"/>
          <w:color w:val="000000"/>
          <w:sz w:val="32"/>
          <w:szCs w:val="32"/>
        </w:rPr>
      </w:pPr>
      <w:r>
        <w:rPr>
          <w:rFonts w:eastAsia="仿宋_GB2312"/>
          <w:noProof/>
          <w:color w:val="000000"/>
          <w:sz w:val="32"/>
          <w:szCs w:val="32"/>
        </w:rPr>
        <w:drawing>
          <wp:anchor distT="0" distB="0" distL="114300" distR="114300" simplePos="0" relativeHeight="251663360" behindDoc="0" locked="0" layoutInCell="1" allowOverlap="1">
            <wp:simplePos x="0" y="0"/>
            <wp:positionH relativeFrom="column">
              <wp:posOffset>162560</wp:posOffset>
            </wp:positionH>
            <wp:positionV relativeFrom="paragraph">
              <wp:posOffset>72390</wp:posOffset>
            </wp:positionV>
            <wp:extent cx="5165090" cy="2235835"/>
            <wp:effectExtent l="0" t="0" r="0" b="0"/>
            <wp:wrapNone/>
            <wp:docPr id="11" name="图片 11" descr="C:\Users\Administrator\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65090" cy="2235835"/>
                    </a:xfrm>
                    <a:prstGeom prst="rect">
                      <a:avLst/>
                    </a:prstGeom>
                    <a:noFill/>
                    <a:ln>
                      <a:noFill/>
                    </a:ln>
                  </pic:spPr>
                </pic:pic>
              </a:graphicData>
            </a:graphic>
          </wp:anchor>
        </w:drawing>
      </w:r>
    </w:p>
    <w:p w:rsidR="005D0947" w:rsidRDefault="005D0947">
      <w:pPr>
        <w:spacing w:line="520" w:lineRule="exact"/>
        <w:ind w:firstLineChars="200" w:firstLine="640"/>
        <w:rPr>
          <w:rFonts w:eastAsia="仿宋_GB2312"/>
          <w:color w:val="000000"/>
          <w:sz w:val="32"/>
          <w:szCs w:val="32"/>
        </w:rPr>
      </w:pPr>
    </w:p>
    <w:p w:rsidR="005D0947" w:rsidRDefault="005D0947">
      <w:pPr>
        <w:spacing w:line="520" w:lineRule="exact"/>
        <w:ind w:firstLineChars="200" w:firstLine="640"/>
        <w:rPr>
          <w:rFonts w:eastAsia="仿宋_GB2312"/>
          <w:color w:val="000000"/>
          <w:sz w:val="32"/>
          <w:szCs w:val="32"/>
        </w:rPr>
      </w:pPr>
    </w:p>
    <w:p w:rsidR="005D0947" w:rsidRDefault="005D0947">
      <w:pPr>
        <w:spacing w:line="520" w:lineRule="exact"/>
        <w:ind w:firstLineChars="200" w:firstLine="640"/>
        <w:rPr>
          <w:rFonts w:eastAsia="仿宋_GB2312"/>
          <w:color w:val="000000"/>
          <w:sz w:val="32"/>
          <w:szCs w:val="32"/>
        </w:rPr>
      </w:pPr>
    </w:p>
    <w:p w:rsidR="005D0947" w:rsidRDefault="005D0947">
      <w:pPr>
        <w:spacing w:line="520" w:lineRule="exact"/>
        <w:ind w:firstLineChars="200" w:firstLine="640"/>
        <w:rPr>
          <w:rFonts w:eastAsia="仿宋_GB2312"/>
          <w:color w:val="000000"/>
          <w:sz w:val="32"/>
          <w:szCs w:val="32"/>
        </w:rPr>
      </w:pPr>
    </w:p>
    <w:p w:rsidR="005D0947" w:rsidRDefault="005D0947">
      <w:pPr>
        <w:spacing w:line="520" w:lineRule="exact"/>
        <w:ind w:firstLineChars="200" w:firstLine="640"/>
        <w:rPr>
          <w:rFonts w:eastAsia="仿宋_GB2312"/>
          <w:color w:val="000000"/>
          <w:sz w:val="32"/>
          <w:szCs w:val="32"/>
        </w:rPr>
      </w:pPr>
    </w:p>
    <w:p w:rsidR="005D0947" w:rsidRDefault="005D0947">
      <w:pPr>
        <w:spacing w:line="520" w:lineRule="exact"/>
        <w:ind w:firstLineChars="200" w:firstLine="640"/>
        <w:rPr>
          <w:rFonts w:eastAsia="仿宋_GB2312"/>
          <w:color w:val="000000"/>
          <w:sz w:val="32"/>
          <w:szCs w:val="32"/>
        </w:rPr>
      </w:pPr>
    </w:p>
    <w:p w:rsidR="005D0947" w:rsidRDefault="00AE56B5">
      <w:pPr>
        <w:spacing w:line="520" w:lineRule="exact"/>
        <w:jc w:val="center"/>
        <w:rPr>
          <w:rFonts w:ascii="黑体" w:eastAsia="黑体" w:hAnsi="黑体"/>
          <w:color w:val="000000"/>
          <w:sz w:val="28"/>
          <w:szCs w:val="32"/>
        </w:rPr>
      </w:pPr>
      <w:r>
        <w:rPr>
          <w:rFonts w:ascii="黑体" w:eastAsia="黑体" w:hAnsi="黑体" w:hint="eastAsia"/>
          <w:color w:val="000000"/>
          <w:sz w:val="28"/>
          <w:szCs w:val="32"/>
        </w:rPr>
        <w:t>图</w:t>
      </w:r>
      <w:r>
        <w:rPr>
          <w:rFonts w:eastAsia="黑体"/>
          <w:color w:val="000000"/>
          <w:sz w:val="28"/>
          <w:szCs w:val="32"/>
        </w:rPr>
        <w:t>4</w:t>
      </w:r>
      <w:r>
        <w:rPr>
          <w:rFonts w:ascii="黑体" w:eastAsia="黑体" w:hAnsi="黑体" w:hint="eastAsia"/>
          <w:color w:val="000000"/>
          <w:sz w:val="28"/>
          <w:szCs w:val="32"/>
        </w:rPr>
        <w:t xml:space="preserve"> </w:t>
      </w:r>
      <w:r>
        <w:rPr>
          <w:rFonts w:ascii="黑体" w:eastAsia="黑体" w:hAnsi="黑体" w:hint="eastAsia"/>
          <w:color w:val="000000"/>
          <w:sz w:val="28"/>
          <w:szCs w:val="32"/>
        </w:rPr>
        <w:t>有输送装置型活检袋示意图</w:t>
      </w:r>
    </w:p>
    <w:p w:rsidR="005D0947" w:rsidRDefault="005D0947">
      <w:pPr>
        <w:spacing w:line="520" w:lineRule="exact"/>
        <w:jc w:val="center"/>
        <w:rPr>
          <w:rFonts w:eastAsia="仿宋_GB2312"/>
          <w:color w:val="000000"/>
          <w:sz w:val="32"/>
          <w:szCs w:val="32"/>
        </w:rPr>
      </w:pPr>
    </w:p>
    <w:p w:rsidR="005D0947" w:rsidRDefault="00AE56B5">
      <w:pPr>
        <w:spacing w:line="520" w:lineRule="exact"/>
        <w:jc w:val="center"/>
        <w:rPr>
          <w:rFonts w:eastAsia="仿宋_GB2312"/>
          <w:color w:val="000000"/>
          <w:sz w:val="32"/>
          <w:szCs w:val="32"/>
        </w:rPr>
      </w:pPr>
      <w:r>
        <w:rPr>
          <w:rFonts w:eastAsia="仿宋_GB2312"/>
          <w:noProof/>
          <w:color w:val="000000"/>
          <w:sz w:val="32"/>
          <w:szCs w:val="32"/>
        </w:rPr>
        <w:lastRenderedPageBreak/>
        <w:drawing>
          <wp:anchor distT="0" distB="0" distL="114300" distR="114300" simplePos="0" relativeHeight="251659264" behindDoc="0" locked="0" layoutInCell="1" allowOverlap="1">
            <wp:simplePos x="0" y="0"/>
            <wp:positionH relativeFrom="column">
              <wp:posOffset>1718945</wp:posOffset>
            </wp:positionH>
            <wp:positionV relativeFrom="paragraph">
              <wp:posOffset>-60325</wp:posOffset>
            </wp:positionV>
            <wp:extent cx="2421255" cy="1739265"/>
            <wp:effectExtent l="0" t="0" r="0" b="0"/>
            <wp:wrapNone/>
            <wp:docPr id="3" name="图片 3" descr="C:\Users\Administrator\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21255" cy="1739265"/>
                    </a:xfrm>
                    <a:prstGeom prst="rect">
                      <a:avLst/>
                    </a:prstGeom>
                    <a:noFill/>
                    <a:ln>
                      <a:noFill/>
                    </a:ln>
                  </pic:spPr>
                </pic:pic>
              </a:graphicData>
            </a:graphic>
          </wp:anchor>
        </w:drawing>
      </w:r>
    </w:p>
    <w:p w:rsidR="005D0947" w:rsidRDefault="005D0947">
      <w:pPr>
        <w:spacing w:line="520" w:lineRule="exact"/>
        <w:jc w:val="center"/>
        <w:rPr>
          <w:rFonts w:eastAsia="仿宋_GB2312"/>
          <w:color w:val="000000"/>
          <w:sz w:val="32"/>
          <w:szCs w:val="32"/>
        </w:rPr>
      </w:pPr>
    </w:p>
    <w:p w:rsidR="005D0947" w:rsidRDefault="005D0947">
      <w:pPr>
        <w:spacing w:line="520" w:lineRule="exact"/>
        <w:jc w:val="center"/>
        <w:rPr>
          <w:rFonts w:eastAsia="仿宋_GB2312"/>
          <w:color w:val="000000"/>
          <w:sz w:val="32"/>
          <w:szCs w:val="32"/>
        </w:rPr>
      </w:pPr>
    </w:p>
    <w:p w:rsidR="005D0947" w:rsidRDefault="005D0947">
      <w:pPr>
        <w:spacing w:line="520" w:lineRule="exact"/>
        <w:jc w:val="center"/>
        <w:rPr>
          <w:rFonts w:eastAsia="仿宋_GB2312"/>
          <w:color w:val="000000"/>
          <w:sz w:val="32"/>
          <w:szCs w:val="32"/>
        </w:rPr>
      </w:pPr>
    </w:p>
    <w:p w:rsidR="005D0947" w:rsidRDefault="005D0947">
      <w:pPr>
        <w:spacing w:line="520" w:lineRule="exact"/>
        <w:jc w:val="center"/>
        <w:rPr>
          <w:rFonts w:eastAsia="仿宋_GB2312"/>
          <w:color w:val="000000"/>
          <w:sz w:val="32"/>
          <w:szCs w:val="32"/>
        </w:rPr>
      </w:pPr>
    </w:p>
    <w:p w:rsidR="005D0947" w:rsidRDefault="00AE56B5">
      <w:pPr>
        <w:spacing w:line="520" w:lineRule="exact"/>
        <w:jc w:val="center"/>
        <w:rPr>
          <w:rFonts w:ascii="黑体" w:eastAsia="黑体" w:hAnsi="黑体"/>
          <w:color w:val="000000"/>
          <w:sz w:val="28"/>
          <w:szCs w:val="32"/>
        </w:rPr>
      </w:pPr>
      <w:r>
        <w:rPr>
          <w:rFonts w:ascii="黑体" w:eastAsia="黑体" w:hAnsi="黑体" w:hint="eastAsia"/>
          <w:color w:val="000000"/>
          <w:sz w:val="28"/>
          <w:szCs w:val="32"/>
        </w:rPr>
        <w:t>图</w:t>
      </w:r>
      <w:r>
        <w:rPr>
          <w:rFonts w:eastAsia="黑体"/>
          <w:color w:val="000000"/>
          <w:sz w:val="28"/>
          <w:szCs w:val="32"/>
        </w:rPr>
        <w:t>5</w:t>
      </w:r>
      <w:r>
        <w:rPr>
          <w:rFonts w:ascii="黑体" w:eastAsia="黑体" w:hAnsi="黑体" w:hint="eastAsia"/>
          <w:color w:val="000000"/>
          <w:sz w:val="28"/>
          <w:szCs w:val="32"/>
        </w:rPr>
        <w:t xml:space="preserve"> </w:t>
      </w:r>
      <w:r>
        <w:rPr>
          <w:rFonts w:ascii="黑体" w:eastAsia="黑体" w:hAnsi="黑体" w:hint="eastAsia"/>
          <w:color w:val="000000"/>
          <w:sz w:val="28"/>
          <w:szCs w:val="32"/>
        </w:rPr>
        <w:t>无输送装置型活检袋示意图</w:t>
      </w:r>
    </w:p>
    <w:p w:rsidR="005D0947" w:rsidRDefault="005D0947">
      <w:pPr>
        <w:spacing w:line="520" w:lineRule="exact"/>
        <w:jc w:val="center"/>
        <w:rPr>
          <w:rFonts w:ascii="黑体" w:eastAsia="黑体" w:hAnsi="黑体"/>
          <w:color w:val="000000"/>
          <w:sz w:val="28"/>
          <w:szCs w:val="32"/>
        </w:rPr>
      </w:pP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原材料</w:t>
      </w:r>
    </w:p>
    <w:p w:rsidR="005D0947" w:rsidRDefault="00AE56B5">
      <w:pPr>
        <w:snapToGrid w:val="0"/>
        <w:spacing w:line="520" w:lineRule="exact"/>
        <w:ind w:firstLineChars="200" w:firstLine="640"/>
        <w:rPr>
          <w:rFonts w:eastAsia="仿宋_GB2312"/>
          <w:color w:val="000000"/>
          <w:sz w:val="32"/>
          <w:szCs w:val="32"/>
        </w:rPr>
      </w:pPr>
      <w:r>
        <w:rPr>
          <w:rFonts w:eastAsia="仿宋_GB2312" w:hint="eastAsia"/>
          <w:sz w:val="32"/>
          <w:szCs w:val="32"/>
        </w:rPr>
        <w:t>描述与使用者和</w:t>
      </w:r>
      <w:r>
        <w:rPr>
          <w:rFonts w:eastAsia="仿宋_GB2312" w:hint="eastAsia"/>
          <w:sz w:val="32"/>
          <w:szCs w:val="32"/>
        </w:rPr>
        <w:t>/</w:t>
      </w:r>
      <w:r>
        <w:rPr>
          <w:rFonts w:eastAsia="仿宋_GB2312" w:hint="eastAsia"/>
          <w:sz w:val="32"/>
          <w:szCs w:val="32"/>
        </w:rPr>
        <w:t>或患者直接或间接接触的材料成分。明确产品所有部件组成材料的通用名称</w:t>
      </w:r>
      <w:r>
        <w:rPr>
          <w:rFonts w:eastAsia="仿宋_GB2312" w:hint="eastAsia"/>
          <w:sz w:val="32"/>
          <w:szCs w:val="32"/>
        </w:rPr>
        <w:t>/</w:t>
      </w:r>
      <w:r>
        <w:rPr>
          <w:rFonts w:eastAsia="仿宋_GB2312" w:hint="eastAsia"/>
          <w:sz w:val="32"/>
          <w:szCs w:val="32"/>
        </w:rPr>
        <w:t>化学名称、商品名</w:t>
      </w:r>
      <w:r>
        <w:rPr>
          <w:rFonts w:eastAsia="仿宋_GB2312" w:hint="eastAsia"/>
          <w:sz w:val="32"/>
          <w:szCs w:val="32"/>
        </w:rPr>
        <w:t>/</w:t>
      </w:r>
      <w:r>
        <w:rPr>
          <w:rFonts w:eastAsia="仿宋_GB2312" w:hint="eastAsia"/>
          <w:sz w:val="32"/>
          <w:szCs w:val="32"/>
        </w:rPr>
        <w:t>牌号、符合的材料标准（如适用）及材料供应商等基本信息，包括制造过程中使用的粘合剂（如适用）、着色剂（如适用）等。建议产品组成材料以列表的形式提供，并与产品结构图示中标识的部件名称一一对应。</w:t>
      </w: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4.</w:t>
      </w:r>
      <w:r>
        <w:rPr>
          <w:rFonts w:eastAsia="仿宋_GB2312"/>
          <w:color w:val="000000"/>
          <w:sz w:val="32"/>
          <w:szCs w:val="32"/>
        </w:rPr>
        <w:t>型号规格</w:t>
      </w:r>
    </w:p>
    <w:p w:rsidR="005D0947" w:rsidRDefault="00AE56B5">
      <w:pPr>
        <w:spacing w:line="520" w:lineRule="exact"/>
        <w:ind w:rightChars="-32" w:right="-67" w:firstLineChars="200" w:firstLine="640"/>
        <w:rPr>
          <w:rFonts w:eastAsia="仿宋_GB2312"/>
          <w:sz w:val="32"/>
          <w:szCs w:val="32"/>
        </w:rPr>
      </w:pPr>
      <w:r>
        <w:rPr>
          <w:rFonts w:eastAsia="仿宋_GB2312" w:hint="eastAsia"/>
          <w:color w:val="000000"/>
          <w:sz w:val="32"/>
          <w:szCs w:val="32"/>
        </w:rPr>
        <w:t>活检袋</w:t>
      </w:r>
      <w:r>
        <w:rPr>
          <w:rFonts w:eastAsia="仿宋_GB2312"/>
          <w:color w:val="000000"/>
          <w:sz w:val="32"/>
          <w:szCs w:val="32"/>
        </w:rPr>
        <w:t>通常</w:t>
      </w:r>
      <w:r>
        <w:rPr>
          <w:rFonts w:eastAsia="仿宋_GB2312" w:hint="eastAsia"/>
          <w:color w:val="000000"/>
          <w:sz w:val="32"/>
          <w:szCs w:val="32"/>
        </w:rPr>
        <w:t>分为有输送装置型和无输送装置型</w:t>
      </w:r>
      <w:r>
        <w:rPr>
          <w:rFonts w:eastAsia="仿宋_GB2312"/>
          <w:color w:val="000000"/>
          <w:sz w:val="32"/>
          <w:szCs w:val="32"/>
        </w:rPr>
        <w:t>两种。制造商应给出</w:t>
      </w:r>
      <w:r>
        <w:rPr>
          <w:rFonts w:eastAsia="仿宋_GB2312" w:hint="eastAsia"/>
          <w:color w:val="000000"/>
          <w:sz w:val="32"/>
          <w:szCs w:val="32"/>
        </w:rPr>
        <w:t>活检袋</w:t>
      </w:r>
      <w:r>
        <w:rPr>
          <w:rFonts w:eastAsia="仿宋_GB2312"/>
          <w:color w:val="000000"/>
          <w:sz w:val="32"/>
          <w:szCs w:val="32"/>
        </w:rPr>
        <w:t>的图示和规格</w:t>
      </w:r>
      <w:r>
        <w:rPr>
          <w:rFonts w:eastAsia="仿宋_GB2312" w:hint="eastAsia"/>
          <w:color w:val="000000"/>
          <w:sz w:val="32"/>
          <w:szCs w:val="32"/>
        </w:rPr>
        <w:t>，</w:t>
      </w:r>
      <w:r>
        <w:rPr>
          <w:rFonts w:eastAsia="仿宋_GB2312"/>
          <w:color w:val="000000"/>
          <w:sz w:val="32"/>
          <w:szCs w:val="32"/>
        </w:rPr>
        <w:t>以供使用者选择。若</w:t>
      </w:r>
      <w:r>
        <w:rPr>
          <w:rFonts w:eastAsia="仿宋_GB2312" w:hint="eastAsia"/>
          <w:sz w:val="32"/>
          <w:szCs w:val="32"/>
        </w:rPr>
        <w:t>对于存在多种型号、规格的产品，应当明确各型号、规格的区别。</w:t>
      </w:r>
      <w:r>
        <w:rPr>
          <w:rFonts w:eastAsia="仿宋_GB2312" w:hint="eastAsia"/>
          <w:sz w:val="32"/>
          <w:szCs w:val="32"/>
        </w:rPr>
        <w:t>建议采用对比表及带有说明性文字的图片、图表，对于各种型号、规格的结构组成（或配置）、功能、产品特征、性能指标等方面加以描述。</w:t>
      </w: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5.</w:t>
      </w:r>
      <w:r>
        <w:rPr>
          <w:rFonts w:eastAsia="仿宋_GB2312" w:hint="eastAsia"/>
          <w:color w:val="000000"/>
          <w:sz w:val="32"/>
          <w:szCs w:val="32"/>
        </w:rPr>
        <w:t>包装说明</w:t>
      </w:r>
    </w:p>
    <w:p w:rsidR="005D0947" w:rsidRDefault="00AE56B5">
      <w:pPr>
        <w:snapToGrid w:val="0"/>
        <w:spacing w:line="520" w:lineRule="exact"/>
        <w:ind w:firstLineChars="200" w:firstLine="640"/>
        <w:rPr>
          <w:rFonts w:eastAsia="仿宋_GB2312"/>
          <w:sz w:val="32"/>
          <w:szCs w:val="32"/>
        </w:rPr>
      </w:pPr>
      <w:r>
        <w:rPr>
          <w:rFonts w:eastAsia="仿宋_GB2312" w:hint="eastAsia"/>
          <w:sz w:val="32"/>
          <w:szCs w:val="32"/>
        </w:rPr>
        <w:t>说明所有产品组成的包装信息。对于无菌医疗器械，说明与灭菌方法相适应的无菌屏障系统信息。说明如何确保最终使用者可清晰地辨识包装的完整性。</w:t>
      </w: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lastRenderedPageBreak/>
        <w:t>6.</w:t>
      </w:r>
      <w:r>
        <w:rPr>
          <w:rFonts w:eastAsia="仿宋_GB2312" w:hint="eastAsia"/>
          <w:color w:val="000000"/>
          <w:sz w:val="32"/>
          <w:szCs w:val="32"/>
        </w:rPr>
        <w:t>研发历程</w:t>
      </w:r>
    </w:p>
    <w:p w:rsidR="005D0947" w:rsidRDefault="00AE56B5">
      <w:pPr>
        <w:snapToGrid w:val="0"/>
        <w:spacing w:line="520" w:lineRule="exact"/>
        <w:ind w:firstLineChars="200" w:firstLine="640"/>
        <w:rPr>
          <w:rFonts w:eastAsia="仿宋_GB2312"/>
          <w:color w:val="000000"/>
          <w:sz w:val="32"/>
          <w:szCs w:val="32"/>
        </w:rPr>
      </w:pPr>
      <w:r>
        <w:rPr>
          <w:rFonts w:eastAsia="仿宋_GB2312" w:hint="eastAsia"/>
          <w:sz w:val="32"/>
          <w:szCs w:val="32"/>
        </w:rPr>
        <w:t>阐述申请注册产品的研发背景和目的。如有参考的同类产品或前代产品，应当提供同类产品或前代产品的信息，并说明选择其作为研发参考的原因。</w:t>
      </w: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7.</w:t>
      </w:r>
      <w:r>
        <w:rPr>
          <w:rFonts w:eastAsia="仿宋_GB2312" w:hint="eastAsia"/>
          <w:color w:val="000000"/>
          <w:sz w:val="32"/>
          <w:szCs w:val="32"/>
        </w:rPr>
        <w:t>与同类和</w:t>
      </w:r>
      <w:r>
        <w:rPr>
          <w:rFonts w:eastAsia="仿宋_GB2312" w:hint="eastAsia"/>
          <w:color w:val="000000"/>
          <w:sz w:val="32"/>
          <w:szCs w:val="32"/>
        </w:rPr>
        <w:t>/</w:t>
      </w:r>
      <w:r>
        <w:rPr>
          <w:rFonts w:eastAsia="仿宋_GB2312" w:hint="eastAsia"/>
          <w:color w:val="000000"/>
          <w:sz w:val="32"/>
          <w:szCs w:val="32"/>
        </w:rPr>
        <w:t>或前代产品的参考和比较</w:t>
      </w:r>
    </w:p>
    <w:p w:rsidR="005D0947" w:rsidRDefault="00AE56B5">
      <w:pPr>
        <w:snapToGrid w:val="0"/>
        <w:spacing w:line="520" w:lineRule="exact"/>
        <w:ind w:firstLineChars="200" w:firstLine="640"/>
        <w:rPr>
          <w:rFonts w:eastAsia="仿宋_GB2312"/>
          <w:color w:val="000000"/>
          <w:sz w:val="32"/>
          <w:szCs w:val="32"/>
        </w:rPr>
      </w:pPr>
      <w:r>
        <w:rPr>
          <w:rFonts w:eastAsia="仿宋_GB2312" w:hint="eastAsia"/>
          <w:sz w:val="32"/>
          <w:szCs w:val="32"/>
        </w:rPr>
        <w:t>列表比较说明申报产品与同类和</w:t>
      </w:r>
      <w:r>
        <w:rPr>
          <w:rFonts w:eastAsia="仿宋_GB2312" w:hint="eastAsia"/>
          <w:sz w:val="32"/>
          <w:szCs w:val="32"/>
        </w:rPr>
        <w:t>/</w:t>
      </w:r>
      <w:r>
        <w:rPr>
          <w:rFonts w:eastAsia="仿宋_GB2312" w:hint="eastAsia"/>
          <w:sz w:val="32"/>
          <w:szCs w:val="32"/>
        </w:rPr>
        <w:t>或前代产品工作原理、结构组成、制造材料、性能指标、作用方式，以及适用范围等异同。</w:t>
      </w: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8.</w:t>
      </w:r>
      <w:r>
        <w:rPr>
          <w:rFonts w:eastAsia="仿宋_GB2312" w:hint="eastAsia"/>
          <w:color w:val="000000"/>
          <w:sz w:val="32"/>
          <w:szCs w:val="32"/>
        </w:rPr>
        <w:t>适用范围和禁忌证</w:t>
      </w:r>
    </w:p>
    <w:p w:rsidR="005D0947" w:rsidRDefault="00AE56B5">
      <w:pPr>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8.1</w:t>
      </w:r>
      <w:r>
        <w:rPr>
          <w:rFonts w:eastAsia="仿宋_GB2312" w:hint="eastAsia"/>
          <w:color w:val="000000"/>
          <w:sz w:val="32"/>
          <w:szCs w:val="32"/>
        </w:rPr>
        <w:t>适用范围：产品</w:t>
      </w:r>
      <w:r>
        <w:rPr>
          <w:rFonts w:eastAsia="仿宋_GB2312"/>
          <w:color w:val="000000"/>
          <w:sz w:val="32"/>
          <w:szCs w:val="32"/>
        </w:rPr>
        <w:t>用于</w:t>
      </w:r>
      <w:r>
        <w:rPr>
          <w:rFonts w:eastAsia="仿宋_GB2312" w:hint="eastAsia"/>
          <w:color w:val="000000"/>
          <w:sz w:val="32"/>
          <w:szCs w:val="32"/>
        </w:rPr>
        <w:t>内窥镜手术时将组织和</w:t>
      </w:r>
      <w:r>
        <w:rPr>
          <w:rFonts w:eastAsia="仿宋_GB2312" w:hint="eastAsia"/>
          <w:color w:val="000000"/>
          <w:sz w:val="32"/>
          <w:szCs w:val="32"/>
        </w:rPr>
        <w:t>/</w:t>
      </w:r>
      <w:r>
        <w:rPr>
          <w:rFonts w:eastAsia="仿宋_GB2312" w:hint="eastAsia"/>
          <w:color w:val="000000"/>
          <w:sz w:val="32"/>
          <w:szCs w:val="32"/>
        </w:rPr>
        <w:t>或活检样本从手术区域取出。</w:t>
      </w:r>
    </w:p>
    <w:p w:rsidR="005D0947" w:rsidRDefault="00AE56B5">
      <w:pPr>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8.2</w:t>
      </w:r>
      <w:r>
        <w:rPr>
          <w:rFonts w:eastAsia="仿宋_GB2312" w:hint="eastAsia"/>
          <w:color w:val="000000"/>
          <w:sz w:val="32"/>
          <w:szCs w:val="32"/>
        </w:rPr>
        <w:t>禁忌证：</w:t>
      </w:r>
      <w:r>
        <w:rPr>
          <w:rFonts w:eastAsia="仿宋_GB2312" w:hint="eastAsia"/>
          <w:sz w:val="32"/>
          <w:szCs w:val="32"/>
        </w:rPr>
        <w:t>说明该产品禁忌应用的疾病、部位、人群等。</w:t>
      </w: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9.</w:t>
      </w:r>
      <w:r>
        <w:rPr>
          <w:rFonts w:eastAsia="仿宋_GB2312" w:hint="eastAsia"/>
          <w:color w:val="000000"/>
          <w:sz w:val="32"/>
          <w:szCs w:val="32"/>
        </w:rPr>
        <w:t>不良事件情况</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申请人应跟踪整理产品的不良事件、召回、警戒等相关信息，并将其作为风险管理的输入资料，进行风险评估和控制。</w:t>
      </w:r>
    </w:p>
    <w:p w:rsidR="005D0947" w:rsidRDefault="00AE56B5">
      <w:pPr>
        <w:spacing w:line="520" w:lineRule="exact"/>
        <w:ind w:firstLineChars="200" w:firstLine="640"/>
        <w:rPr>
          <w:rFonts w:eastAsia="仿宋_GB2312"/>
          <w:sz w:val="32"/>
          <w:szCs w:val="32"/>
        </w:rPr>
      </w:pPr>
      <w:r>
        <w:rPr>
          <w:rFonts w:eastAsia="仿宋_GB2312" w:hint="eastAsia"/>
          <w:sz w:val="32"/>
          <w:szCs w:val="32"/>
        </w:rPr>
        <w:t>经查阅，活检袋常见的不良事件包括袋体破裂、拉绳断裂、袋体脱落等。</w:t>
      </w:r>
    </w:p>
    <w:p w:rsidR="005D0947" w:rsidRDefault="00AE56B5">
      <w:pPr>
        <w:snapToGrid w:val="0"/>
        <w:spacing w:line="520" w:lineRule="exact"/>
        <w:ind w:firstLineChars="200" w:firstLine="640"/>
        <w:outlineLvl w:val="1"/>
        <w:rPr>
          <w:rFonts w:ascii="楷体" w:eastAsia="楷体" w:hAnsi="楷体"/>
          <w:color w:val="000000"/>
          <w:sz w:val="32"/>
          <w:szCs w:val="32"/>
        </w:rPr>
      </w:pPr>
      <w:r>
        <w:rPr>
          <w:rFonts w:ascii="楷体" w:eastAsia="楷体" w:hAnsi="楷体"/>
          <w:color w:val="000000"/>
          <w:sz w:val="32"/>
          <w:szCs w:val="32"/>
        </w:rPr>
        <w:t>（</w:t>
      </w:r>
      <w:r>
        <w:rPr>
          <w:rFonts w:ascii="楷体" w:eastAsia="楷体" w:hAnsi="楷体" w:hint="eastAsia"/>
          <w:color w:val="000000"/>
          <w:sz w:val="32"/>
          <w:szCs w:val="32"/>
        </w:rPr>
        <w:t>四</w:t>
      </w:r>
      <w:r>
        <w:rPr>
          <w:rFonts w:ascii="楷体" w:eastAsia="楷体" w:hAnsi="楷体"/>
          <w:color w:val="000000"/>
          <w:sz w:val="32"/>
          <w:szCs w:val="32"/>
        </w:rPr>
        <w:t>）</w:t>
      </w:r>
      <w:r>
        <w:rPr>
          <w:rFonts w:ascii="楷体" w:eastAsia="楷体" w:hAnsi="楷体" w:hint="eastAsia"/>
          <w:color w:val="000000"/>
          <w:sz w:val="32"/>
          <w:szCs w:val="32"/>
        </w:rPr>
        <w:t>非临床资料</w:t>
      </w: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color w:val="000000"/>
          <w:sz w:val="32"/>
          <w:szCs w:val="32"/>
        </w:rPr>
        <w:t>1.</w:t>
      </w:r>
      <w:r>
        <w:rPr>
          <w:rFonts w:eastAsia="仿宋_GB2312"/>
          <w:color w:val="000000"/>
          <w:sz w:val="32"/>
          <w:szCs w:val="32"/>
        </w:rPr>
        <w:t>产品风险管理资料</w:t>
      </w:r>
    </w:p>
    <w:p w:rsidR="005D0947" w:rsidRDefault="00AE56B5">
      <w:pPr>
        <w:tabs>
          <w:tab w:val="left" w:pos="7140"/>
        </w:tabs>
        <w:spacing w:line="520" w:lineRule="exact"/>
        <w:ind w:firstLineChars="200" w:firstLine="640"/>
        <w:rPr>
          <w:rFonts w:eastAsia="仿宋_GB2312"/>
          <w:sz w:val="32"/>
          <w:szCs w:val="32"/>
        </w:rPr>
      </w:pPr>
      <w:r>
        <w:rPr>
          <w:rFonts w:eastAsia="仿宋_GB2312" w:hint="eastAsia"/>
          <w:sz w:val="32"/>
          <w:szCs w:val="32"/>
        </w:rPr>
        <w:t>1.1</w:t>
      </w:r>
      <w:r>
        <w:rPr>
          <w:rFonts w:eastAsia="仿宋_GB2312" w:hint="eastAsia"/>
          <w:sz w:val="32"/>
          <w:szCs w:val="32"/>
        </w:rPr>
        <w:t>在对风险的判定及分析中，要考虑合理的可预见的情况，它们包括：正常使用条件下；非正常使用条件下；</w:t>
      </w:r>
    </w:p>
    <w:p w:rsidR="005D0947" w:rsidRDefault="00AE56B5">
      <w:pPr>
        <w:tabs>
          <w:tab w:val="left" w:pos="7140"/>
        </w:tabs>
        <w:spacing w:line="520" w:lineRule="exact"/>
        <w:ind w:firstLineChars="200" w:firstLine="640"/>
        <w:rPr>
          <w:rFonts w:eastAsia="仿宋_GB2312"/>
          <w:sz w:val="32"/>
          <w:szCs w:val="32"/>
        </w:rPr>
      </w:pPr>
      <w:r>
        <w:rPr>
          <w:rFonts w:eastAsia="仿宋_GB2312" w:hint="eastAsia"/>
          <w:sz w:val="32"/>
          <w:szCs w:val="32"/>
        </w:rPr>
        <w:t>1.2</w:t>
      </w:r>
      <w:r>
        <w:rPr>
          <w:rFonts w:eastAsia="仿宋_GB2312" w:hint="eastAsia"/>
          <w:sz w:val="32"/>
          <w:szCs w:val="32"/>
        </w:rPr>
        <w:t>风险判定及分析应包括：对于患者的危害；对于操作者的危害；对于环境的危害；</w:t>
      </w:r>
    </w:p>
    <w:p w:rsidR="005D0947" w:rsidRDefault="00AE56B5">
      <w:pPr>
        <w:tabs>
          <w:tab w:val="left" w:pos="7140"/>
        </w:tabs>
        <w:spacing w:line="520" w:lineRule="exact"/>
        <w:ind w:firstLineChars="200" w:firstLine="640"/>
        <w:rPr>
          <w:rFonts w:eastAsia="仿宋_GB2312"/>
          <w:sz w:val="32"/>
          <w:szCs w:val="32"/>
        </w:rPr>
      </w:pPr>
      <w:r>
        <w:rPr>
          <w:rFonts w:eastAsia="仿宋_GB2312" w:hint="eastAsia"/>
          <w:sz w:val="32"/>
          <w:szCs w:val="32"/>
        </w:rPr>
        <w:t>1.3</w:t>
      </w:r>
      <w:r>
        <w:rPr>
          <w:rFonts w:eastAsia="仿宋_GB2312" w:hint="eastAsia"/>
          <w:sz w:val="32"/>
          <w:szCs w:val="32"/>
        </w:rPr>
        <w:t>风险形成的初始原因应包括：人为因素包括不合理的操作；产品结构、原材料、综合危害；环境条件；</w:t>
      </w:r>
    </w:p>
    <w:p w:rsidR="005D0947" w:rsidRDefault="00AE56B5">
      <w:pPr>
        <w:tabs>
          <w:tab w:val="left" w:pos="7140"/>
        </w:tabs>
        <w:spacing w:line="520" w:lineRule="exact"/>
        <w:ind w:firstLineChars="200" w:firstLine="640"/>
        <w:rPr>
          <w:rFonts w:eastAsia="仿宋_GB2312"/>
          <w:sz w:val="32"/>
          <w:szCs w:val="32"/>
        </w:rPr>
      </w:pPr>
      <w:r>
        <w:rPr>
          <w:rFonts w:eastAsia="仿宋_GB2312" w:hint="eastAsia"/>
          <w:sz w:val="32"/>
          <w:szCs w:val="32"/>
        </w:rPr>
        <w:lastRenderedPageBreak/>
        <w:t>1.4</w:t>
      </w:r>
      <w:r>
        <w:rPr>
          <w:rFonts w:eastAsia="仿宋_GB2312" w:hint="eastAsia"/>
          <w:sz w:val="32"/>
          <w:szCs w:val="32"/>
        </w:rPr>
        <w:t>风险判定及分析考虑的问题包括：产品原材料生物学危害；操作信息，包括警示性语言、注意事项以及使用方法的准确性；使用可能存在的危害等。</w:t>
      </w:r>
    </w:p>
    <w:p w:rsidR="005D0947" w:rsidRDefault="00AE56B5">
      <w:pPr>
        <w:tabs>
          <w:tab w:val="left" w:pos="7140"/>
        </w:tabs>
        <w:spacing w:line="520" w:lineRule="exact"/>
        <w:ind w:firstLineChars="200" w:firstLine="640"/>
        <w:rPr>
          <w:rFonts w:eastAsia="仿宋_GB2312"/>
          <w:sz w:val="32"/>
          <w:szCs w:val="32"/>
        </w:rPr>
      </w:pPr>
      <w:r>
        <w:rPr>
          <w:rFonts w:eastAsia="仿宋_GB2312" w:hint="eastAsia"/>
          <w:sz w:val="32"/>
          <w:szCs w:val="32"/>
        </w:rPr>
        <w:t>1.5</w:t>
      </w:r>
      <w:r>
        <w:rPr>
          <w:rFonts w:eastAsia="仿宋_GB2312" w:hint="eastAsia"/>
          <w:sz w:val="32"/>
          <w:szCs w:val="32"/>
        </w:rPr>
        <w:t>风险分析清单</w:t>
      </w:r>
    </w:p>
    <w:p w:rsidR="005D0947" w:rsidRDefault="00AE56B5">
      <w:pPr>
        <w:tabs>
          <w:tab w:val="left" w:pos="7140"/>
        </w:tabs>
        <w:spacing w:line="520" w:lineRule="exact"/>
        <w:ind w:firstLineChars="200" w:firstLine="640"/>
        <w:rPr>
          <w:rFonts w:eastAsia="仿宋_GB2312"/>
          <w:sz w:val="32"/>
          <w:szCs w:val="32"/>
        </w:rPr>
      </w:pPr>
      <w:r>
        <w:rPr>
          <w:rFonts w:eastAsia="仿宋_GB2312" w:hint="eastAsia"/>
          <w:sz w:val="32"/>
          <w:szCs w:val="32"/>
        </w:rPr>
        <w:t>产品的风险管理报告应符合</w:t>
      </w:r>
      <w:r>
        <w:rPr>
          <w:rFonts w:eastAsia="仿宋_GB2312"/>
          <w:sz w:val="32"/>
          <w:szCs w:val="32"/>
        </w:rPr>
        <w:t>GB/T 42062</w:t>
      </w:r>
      <w:r>
        <w:rPr>
          <w:rFonts w:eastAsia="仿宋_GB2312" w:hint="eastAsia"/>
          <w:sz w:val="32"/>
          <w:szCs w:val="32"/>
        </w:rPr>
        <w:t>的有关要求，审查要点包括：</w:t>
      </w:r>
    </w:p>
    <w:p w:rsidR="005D0947" w:rsidRDefault="00AE56B5">
      <w:pPr>
        <w:tabs>
          <w:tab w:val="left" w:pos="7140"/>
        </w:tabs>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.5.1</w:t>
      </w:r>
      <w:r>
        <w:rPr>
          <w:rFonts w:eastAsia="仿宋_GB2312" w:hint="eastAsia"/>
          <w:sz w:val="32"/>
          <w:szCs w:val="32"/>
        </w:rPr>
        <w:t>产品安全性特征判定是否准确（依据</w:t>
      </w:r>
      <w:r>
        <w:rPr>
          <w:rFonts w:eastAsia="仿宋_GB2312" w:hint="eastAsia"/>
          <w:sz w:val="32"/>
          <w:szCs w:val="32"/>
        </w:rPr>
        <w:t xml:space="preserve">YY/T </w:t>
      </w:r>
      <w:r>
        <w:rPr>
          <w:rFonts w:eastAsia="仿宋_GB2312"/>
          <w:sz w:val="32"/>
          <w:szCs w:val="32"/>
        </w:rPr>
        <w:t>1437</w:t>
      </w:r>
      <w:r>
        <w:rPr>
          <w:rFonts w:eastAsia="仿宋_GB2312" w:hint="eastAsia"/>
          <w:sz w:val="32"/>
          <w:szCs w:val="32"/>
        </w:rPr>
        <w:t>）；</w:t>
      </w:r>
    </w:p>
    <w:p w:rsidR="005D0947" w:rsidRDefault="00AE56B5">
      <w:pPr>
        <w:tabs>
          <w:tab w:val="left" w:pos="7140"/>
        </w:tabs>
        <w:spacing w:line="520" w:lineRule="exact"/>
        <w:ind w:firstLineChars="200" w:firstLine="640"/>
        <w:rPr>
          <w:rFonts w:eastAsia="仿宋_GB2312"/>
          <w:sz w:val="32"/>
          <w:szCs w:val="32"/>
        </w:rPr>
      </w:pPr>
      <w:r>
        <w:rPr>
          <w:rFonts w:eastAsia="仿宋_GB2312" w:hint="eastAsia"/>
          <w:sz w:val="32"/>
          <w:szCs w:val="32"/>
        </w:rPr>
        <w:t>1.5.2</w:t>
      </w:r>
      <w:r>
        <w:rPr>
          <w:rFonts w:eastAsia="仿宋_GB2312" w:hint="eastAsia"/>
          <w:sz w:val="32"/>
          <w:szCs w:val="32"/>
        </w:rPr>
        <w:t>危害分析是否全面（依据</w:t>
      </w:r>
      <w:r>
        <w:rPr>
          <w:rFonts w:eastAsia="仿宋_GB2312"/>
          <w:sz w:val="32"/>
          <w:szCs w:val="32"/>
        </w:rPr>
        <w:t>GB/T 42062</w:t>
      </w:r>
      <w:r>
        <w:rPr>
          <w:rFonts w:eastAsia="仿宋_GB2312" w:hint="eastAsia"/>
          <w:sz w:val="32"/>
          <w:szCs w:val="32"/>
        </w:rPr>
        <w:t>附录</w:t>
      </w:r>
      <w:r>
        <w:rPr>
          <w:rFonts w:eastAsia="仿宋_GB2312" w:hint="eastAsia"/>
          <w:sz w:val="32"/>
          <w:szCs w:val="32"/>
        </w:rPr>
        <w:t>C</w:t>
      </w:r>
      <w:r>
        <w:rPr>
          <w:rFonts w:eastAsia="仿宋_GB2312" w:hint="eastAsia"/>
          <w:sz w:val="32"/>
          <w:szCs w:val="32"/>
        </w:rPr>
        <w:t>）；</w:t>
      </w:r>
    </w:p>
    <w:p w:rsidR="005D0947" w:rsidRDefault="00AE56B5">
      <w:pPr>
        <w:tabs>
          <w:tab w:val="left" w:pos="7140"/>
        </w:tabs>
        <w:spacing w:line="520" w:lineRule="exact"/>
        <w:ind w:firstLineChars="200" w:firstLine="640"/>
        <w:rPr>
          <w:rFonts w:eastAsia="仿宋_GB2312"/>
          <w:sz w:val="32"/>
          <w:szCs w:val="32"/>
        </w:rPr>
      </w:pPr>
      <w:r>
        <w:rPr>
          <w:rFonts w:eastAsia="仿宋_GB2312" w:hint="eastAsia"/>
          <w:sz w:val="32"/>
          <w:szCs w:val="32"/>
        </w:rPr>
        <w:t>1.5.3</w:t>
      </w:r>
      <w:r>
        <w:rPr>
          <w:rFonts w:eastAsia="仿宋_GB2312" w:hint="eastAsia"/>
          <w:sz w:val="32"/>
          <w:szCs w:val="32"/>
        </w:rPr>
        <w:t>风险可接收准则，降低风险的措施及采取措施后风险的可接收程度，是否有新的风险产生。</w:t>
      </w:r>
    </w:p>
    <w:p w:rsidR="005D0947" w:rsidRDefault="00AE56B5">
      <w:pPr>
        <w:tabs>
          <w:tab w:val="left" w:pos="7140"/>
        </w:tabs>
        <w:spacing w:line="520" w:lineRule="exact"/>
        <w:ind w:firstLineChars="200" w:firstLine="640"/>
        <w:rPr>
          <w:rFonts w:eastAsia="仿宋_GB2312"/>
          <w:sz w:val="32"/>
          <w:szCs w:val="32"/>
        </w:rPr>
      </w:pPr>
      <w:r>
        <w:rPr>
          <w:rFonts w:eastAsia="仿宋_GB2312" w:hint="eastAsia"/>
          <w:sz w:val="32"/>
          <w:szCs w:val="32"/>
        </w:rPr>
        <w:t>根据</w:t>
      </w:r>
      <w:r>
        <w:rPr>
          <w:rFonts w:eastAsia="仿宋_GB2312"/>
          <w:sz w:val="32"/>
          <w:szCs w:val="32"/>
        </w:rPr>
        <w:t>GB/T 42062</w:t>
      </w:r>
      <w:r>
        <w:rPr>
          <w:rFonts w:eastAsia="仿宋_GB2312" w:hint="eastAsia"/>
          <w:sz w:val="32"/>
          <w:szCs w:val="32"/>
        </w:rPr>
        <w:t>对“活检袋”已知或可预见的风险进行判定，产品在进行风险分析时至少应包括以下的主要危害（见附件），企业还应根据自身产品特点确定其他危害。针对产品的各项风险，企业应采取应对措施，确保风险降到可接受的程度。</w:t>
      </w: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产品技术要求</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注册申请人应根据产品自身的技术特点及临床应用要求，参考相应的国家、行业标准等规范性文件制定产品技术要求，</w:t>
      </w:r>
      <w:r>
        <w:rPr>
          <w:rFonts w:eastAsia="仿宋_GB2312" w:hint="eastAsia"/>
          <w:sz w:val="32"/>
          <w:szCs w:val="32"/>
        </w:rPr>
        <w:t>同时还应符合《医疗器械产品技术要求编写指导原则》的要求。</w:t>
      </w:r>
    </w:p>
    <w:p w:rsidR="005D0947" w:rsidRDefault="00AE56B5">
      <w:pPr>
        <w:spacing w:line="520" w:lineRule="exact"/>
        <w:ind w:firstLineChars="200" w:firstLine="640"/>
        <w:rPr>
          <w:rFonts w:eastAsia="仿宋_GB2312"/>
          <w:sz w:val="32"/>
          <w:szCs w:val="32"/>
        </w:rPr>
      </w:pPr>
      <w:r>
        <w:rPr>
          <w:rFonts w:eastAsia="仿宋_GB2312" w:hint="eastAsia"/>
          <w:color w:val="000000"/>
          <w:sz w:val="32"/>
          <w:szCs w:val="32"/>
        </w:rPr>
        <w:t>2.1</w:t>
      </w:r>
      <w:r>
        <w:rPr>
          <w:rFonts w:eastAsia="仿宋_GB2312" w:hint="eastAsia"/>
          <w:sz w:val="32"/>
          <w:szCs w:val="32"/>
        </w:rPr>
        <w:t>产品型号</w:t>
      </w:r>
      <w:r>
        <w:rPr>
          <w:rFonts w:eastAsia="仿宋_GB2312" w:hint="eastAsia"/>
          <w:sz w:val="32"/>
          <w:szCs w:val="32"/>
        </w:rPr>
        <w:t>/</w:t>
      </w:r>
      <w:r>
        <w:rPr>
          <w:rFonts w:eastAsia="仿宋_GB2312" w:hint="eastAsia"/>
          <w:sz w:val="32"/>
          <w:szCs w:val="32"/>
        </w:rPr>
        <w:t>规格及其划分说明</w:t>
      </w:r>
    </w:p>
    <w:p w:rsidR="005D0947" w:rsidRDefault="00AE56B5">
      <w:pPr>
        <w:spacing w:line="520" w:lineRule="exact"/>
        <w:ind w:firstLineChars="200" w:firstLine="640"/>
        <w:rPr>
          <w:rFonts w:eastAsia="仿宋_GB2312"/>
          <w:sz w:val="32"/>
          <w:szCs w:val="32"/>
        </w:rPr>
      </w:pPr>
      <w:r>
        <w:rPr>
          <w:rFonts w:eastAsia="仿宋_GB2312" w:hint="eastAsia"/>
          <w:sz w:val="32"/>
          <w:szCs w:val="32"/>
        </w:rPr>
        <w:t>明确产品型号</w:t>
      </w:r>
      <w:r>
        <w:rPr>
          <w:rFonts w:eastAsia="仿宋_GB2312" w:hint="eastAsia"/>
          <w:sz w:val="32"/>
          <w:szCs w:val="32"/>
        </w:rPr>
        <w:t>/</w:t>
      </w:r>
      <w:r>
        <w:rPr>
          <w:rFonts w:eastAsia="仿宋_GB2312" w:hint="eastAsia"/>
          <w:sz w:val="32"/>
          <w:szCs w:val="32"/>
        </w:rPr>
        <w:t>规格，阐明各型号</w:t>
      </w:r>
      <w:r>
        <w:rPr>
          <w:rFonts w:eastAsia="仿宋_GB2312" w:hint="eastAsia"/>
          <w:sz w:val="32"/>
          <w:szCs w:val="32"/>
        </w:rPr>
        <w:t>/</w:t>
      </w:r>
      <w:r>
        <w:rPr>
          <w:rFonts w:eastAsia="仿宋_GB2312" w:hint="eastAsia"/>
          <w:sz w:val="32"/>
          <w:szCs w:val="32"/>
        </w:rPr>
        <w:t>规格间的区别及划分说明，型号</w:t>
      </w:r>
      <w:r>
        <w:rPr>
          <w:rFonts w:eastAsia="仿宋_GB2312" w:hint="eastAsia"/>
          <w:sz w:val="32"/>
          <w:szCs w:val="32"/>
        </w:rPr>
        <w:t>/</w:t>
      </w:r>
      <w:r>
        <w:rPr>
          <w:rFonts w:eastAsia="仿宋_GB2312" w:hint="eastAsia"/>
          <w:sz w:val="32"/>
          <w:szCs w:val="32"/>
        </w:rPr>
        <w:t>规格的表述应与全部注册申报资料保持一致，并建议提供结构示意图。</w:t>
      </w:r>
    </w:p>
    <w:p w:rsidR="005D0947" w:rsidRDefault="00AE56B5">
      <w:pPr>
        <w:spacing w:line="520" w:lineRule="exact"/>
        <w:ind w:firstLineChars="200" w:firstLine="640"/>
        <w:rPr>
          <w:rFonts w:eastAsia="仿宋_GB2312"/>
          <w:color w:val="000000"/>
          <w:sz w:val="32"/>
          <w:szCs w:val="32"/>
        </w:rPr>
      </w:pPr>
      <w:r>
        <w:rPr>
          <w:rFonts w:eastAsia="仿宋_GB2312" w:hint="eastAsia"/>
          <w:sz w:val="32"/>
          <w:szCs w:val="32"/>
        </w:rPr>
        <w:t>2.2</w:t>
      </w:r>
      <w:r>
        <w:rPr>
          <w:rFonts w:eastAsia="仿宋_GB2312" w:hint="eastAsia"/>
          <w:sz w:val="32"/>
          <w:szCs w:val="32"/>
        </w:rPr>
        <w:t>性能指标</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活检袋产品性能指标通常包括但不限于以下项目：</w:t>
      </w:r>
    </w:p>
    <w:p w:rsidR="005D0947" w:rsidRDefault="00AE56B5">
      <w:pPr>
        <w:spacing w:line="520" w:lineRule="exact"/>
        <w:ind w:firstLineChars="200" w:firstLine="640"/>
        <w:rPr>
          <w:rFonts w:eastAsia="仿宋_GB2312"/>
          <w:color w:val="000000"/>
          <w:sz w:val="32"/>
          <w:szCs w:val="32"/>
        </w:rPr>
      </w:pPr>
      <w:r>
        <w:rPr>
          <w:rFonts w:eastAsia="仿宋_GB2312"/>
          <w:color w:val="000000"/>
          <w:sz w:val="32"/>
          <w:szCs w:val="32"/>
        </w:rPr>
        <w:t>外观</w:t>
      </w:r>
    </w:p>
    <w:p w:rsidR="005D0947" w:rsidRDefault="00AE56B5">
      <w:pPr>
        <w:spacing w:line="520" w:lineRule="exact"/>
        <w:ind w:firstLineChars="200" w:firstLine="640"/>
        <w:rPr>
          <w:rFonts w:eastAsia="仿宋_GB2312"/>
          <w:color w:val="000000"/>
          <w:sz w:val="32"/>
          <w:szCs w:val="32"/>
        </w:rPr>
      </w:pPr>
      <w:r>
        <w:rPr>
          <w:rFonts w:eastAsia="仿宋_GB2312"/>
          <w:color w:val="000000"/>
          <w:sz w:val="32"/>
          <w:szCs w:val="32"/>
        </w:rPr>
        <w:lastRenderedPageBreak/>
        <w:t>尺寸</w:t>
      </w:r>
      <w:r>
        <w:rPr>
          <w:rFonts w:eastAsia="仿宋_GB2312" w:hint="eastAsia"/>
          <w:color w:val="000000"/>
          <w:sz w:val="32"/>
          <w:szCs w:val="32"/>
        </w:rPr>
        <w:t>：插入部分的最大宽度（有输送装置型产品适用）、工作长度（有输送装置型产品适用）、袋口尺寸</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操作性能，包括袋体的撑开和回撤（有输送装置型产品适用）、袋口的收紧等</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各部位连接处的连接强度（如拉绳与袋体、拉绳与拉环等）</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拉绳的强度</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袋体结合处的连接强度</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袋体密封性能</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袋体容积，</w:t>
      </w:r>
      <w:r>
        <w:rPr>
          <w:rFonts w:ascii="仿宋_GB2312" w:eastAsia="仿宋_GB2312" w:hint="eastAsia"/>
          <w:bCs/>
          <w:color w:val="000000"/>
          <w:sz w:val="32"/>
          <w:szCs w:val="32"/>
        </w:rPr>
        <w:t>未收紧袋口的容积和</w:t>
      </w:r>
      <w:r>
        <w:rPr>
          <w:rFonts w:ascii="仿宋_GB2312" w:eastAsia="仿宋_GB2312" w:hint="eastAsia"/>
          <w:bCs/>
          <w:color w:val="000000"/>
          <w:sz w:val="32"/>
          <w:szCs w:val="32"/>
        </w:rPr>
        <w:t>/</w:t>
      </w:r>
      <w:r>
        <w:rPr>
          <w:rFonts w:ascii="仿宋_GB2312" w:eastAsia="仿宋_GB2312" w:hint="eastAsia"/>
          <w:bCs/>
          <w:color w:val="000000"/>
          <w:sz w:val="32"/>
          <w:szCs w:val="32"/>
        </w:rPr>
        <w:t>或收紧袋口后的容积</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耐腐蚀性（如适用）</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化学性能：澄清度和色泽、酸碱度、重金属、还原物质、蒸发残渣、环氧乙烷残留量（如适用）</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无菌</w:t>
      </w:r>
    </w:p>
    <w:p w:rsidR="005D0947" w:rsidRDefault="00AE56B5">
      <w:pPr>
        <w:spacing w:line="520" w:lineRule="exact"/>
        <w:ind w:firstLineChars="200" w:firstLine="636"/>
        <w:rPr>
          <w:rFonts w:eastAsia="仿宋_GB2312"/>
          <w:color w:val="000000"/>
          <w:sz w:val="32"/>
          <w:szCs w:val="32"/>
        </w:rPr>
      </w:pPr>
      <w:r>
        <w:rPr>
          <w:rFonts w:eastAsia="仿宋_GB2312" w:hint="eastAsia"/>
          <w:color w:val="000000"/>
          <w:spacing w:val="-1"/>
          <w:sz w:val="32"/>
          <w:szCs w:val="32"/>
        </w:rPr>
        <w:t>若申请人声称具有其他特定的技术特性的，应制订相应的性能指标。</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2.3</w:t>
      </w:r>
      <w:r>
        <w:rPr>
          <w:rFonts w:eastAsia="仿宋_GB2312" w:hint="eastAsia"/>
          <w:sz w:val="32"/>
          <w:szCs w:val="32"/>
        </w:rPr>
        <w:t>检验方法</w:t>
      </w:r>
    </w:p>
    <w:p w:rsidR="005D0947" w:rsidRDefault="00AE56B5">
      <w:pPr>
        <w:spacing w:line="520" w:lineRule="exact"/>
        <w:ind w:firstLineChars="200" w:firstLine="640"/>
        <w:rPr>
          <w:rFonts w:eastAsia="仿宋_GB2312"/>
          <w:color w:val="000000"/>
          <w:sz w:val="32"/>
          <w:szCs w:val="32"/>
        </w:rPr>
      </w:pPr>
      <w:r>
        <w:rPr>
          <w:rFonts w:eastAsia="仿宋_GB2312" w:hint="eastAsia"/>
          <w:sz w:val="32"/>
          <w:szCs w:val="32"/>
        </w:rPr>
        <w:t>产品的检验方法需优先采用国家标准</w:t>
      </w:r>
      <w:r>
        <w:rPr>
          <w:rFonts w:eastAsia="仿宋_GB2312" w:hint="eastAsia"/>
          <w:sz w:val="32"/>
          <w:szCs w:val="32"/>
        </w:rPr>
        <w:t>/</w:t>
      </w:r>
      <w:r>
        <w:rPr>
          <w:rFonts w:eastAsia="仿宋_GB2312" w:hint="eastAsia"/>
          <w:sz w:val="32"/>
          <w:szCs w:val="32"/>
        </w:rPr>
        <w:t>行业标准中的方法。对于相关国家标准</w:t>
      </w:r>
      <w:r>
        <w:rPr>
          <w:rFonts w:eastAsia="仿宋_GB2312" w:hint="eastAsia"/>
          <w:sz w:val="32"/>
          <w:szCs w:val="32"/>
        </w:rPr>
        <w:t>/</w:t>
      </w:r>
      <w:r>
        <w:rPr>
          <w:rFonts w:eastAsia="仿宋_GB2312" w:hint="eastAsia"/>
          <w:sz w:val="32"/>
          <w:szCs w:val="32"/>
        </w:rPr>
        <w:t>行业标准中不适用的条款，需说明</w:t>
      </w:r>
      <w:r>
        <w:rPr>
          <w:rFonts w:eastAsia="仿宋_GB2312" w:hint="eastAsia"/>
          <w:sz w:val="32"/>
          <w:szCs w:val="32"/>
        </w:rPr>
        <w:t>不适用的原因。所有引用的标准注明其编号和年代号。必要时可以附录形式采用相应图示进行说明，文本较大的可以附录形式提供。</w:t>
      </w: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产品检验报告</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可提交申请人出具的自检报告或委托有资质的医疗器械检验机构出具的检验报告。</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提交自检报告的，应符合《医疗器械注册自检管理规定》的要求。</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lastRenderedPageBreak/>
        <w:t>注册申请人应</w:t>
      </w:r>
      <w:r>
        <w:rPr>
          <w:rFonts w:eastAsia="仿宋_GB2312" w:hint="eastAsia"/>
          <w:sz w:val="32"/>
          <w:szCs w:val="32"/>
        </w:rPr>
        <w:t>提供检验样品型号</w:t>
      </w:r>
      <w:r>
        <w:rPr>
          <w:rFonts w:eastAsia="仿宋_GB2312" w:hint="eastAsia"/>
          <w:sz w:val="32"/>
          <w:szCs w:val="32"/>
        </w:rPr>
        <w:t>/</w:t>
      </w:r>
      <w:r>
        <w:rPr>
          <w:rFonts w:eastAsia="仿宋_GB2312" w:hint="eastAsia"/>
          <w:sz w:val="32"/>
          <w:szCs w:val="32"/>
        </w:rPr>
        <w:t>规格的选择依据。所检验型号</w:t>
      </w:r>
      <w:r>
        <w:rPr>
          <w:rFonts w:eastAsia="仿宋_GB2312" w:hint="eastAsia"/>
          <w:sz w:val="32"/>
          <w:szCs w:val="32"/>
        </w:rPr>
        <w:t>/</w:t>
      </w:r>
      <w:r>
        <w:rPr>
          <w:rFonts w:eastAsia="仿宋_GB2312" w:hint="eastAsia"/>
          <w:sz w:val="32"/>
          <w:szCs w:val="32"/>
        </w:rPr>
        <w:t>规格需为能够代表本注册单元内其他型号</w:t>
      </w:r>
      <w:r>
        <w:rPr>
          <w:rFonts w:eastAsia="仿宋_GB2312" w:hint="eastAsia"/>
          <w:sz w:val="32"/>
          <w:szCs w:val="32"/>
        </w:rPr>
        <w:t>/</w:t>
      </w:r>
      <w:r>
        <w:rPr>
          <w:rFonts w:eastAsia="仿宋_GB2312" w:hint="eastAsia"/>
          <w:sz w:val="32"/>
          <w:szCs w:val="32"/>
        </w:rPr>
        <w:t>规格的典型产品。选取用于检验的典型产品时需综合考虑产品的结构组成、制造材料、性能指标、生产工艺等方面的影响因素。一个型号不能完全覆盖时，应选择其他型号进行相关性能的差异性检测。需注意，典型型号</w:t>
      </w:r>
      <w:r>
        <w:rPr>
          <w:rFonts w:eastAsia="仿宋_GB2312" w:hint="eastAsia"/>
          <w:sz w:val="32"/>
          <w:szCs w:val="32"/>
        </w:rPr>
        <w:t>/</w:t>
      </w:r>
      <w:r>
        <w:rPr>
          <w:rFonts w:eastAsia="仿宋_GB2312" w:hint="eastAsia"/>
          <w:sz w:val="32"/>
          <w:szCs w:val="32"/>
        </w:rPr>
        <w:t>规格不一定是临床常用型号</w:t>
      </w:r>
      <w:r>
        <w:rPr>
          <w:rFonts w:eastAsia="仿宋_GB2312" w:hint="eastAsia"/>
          <w:sz w:val="32"/>
          <w:szCs w:val="32"/>
        </w:rPr>
        <w:t>/</w:t>
      </w:r>
      <w:r>
        <w:rPr>
          <w:rFonts w:eastAsia="仿宋_GB2312" w:hint="eastAsia"/>
          <w:sz w:val="32"/>
          <w:szCs w:val="32"/>
        </w:rPr>
        <w:t>规格。</w:t>
      </w: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w:t>
      </w:r>
      <w:r>
        <w:rPr>
          <w:rFonts w:eastAsia="仿宋_GB2312" w:hint="eastAsia"/>
          <w:color w:val="000000"/>
          <w:sz w:val="32"/>
          <w:szCs w:val="32"/>
        </w:rPr>
        <w:t>产品性能研究</w:t>
      </w:r>
    </w:p>
    <w:p w:rsidR="005D0947" w:rsidRDefault="00AE56B5">
      <w:pPr>
        <w:spacing w:line="520" w:lineRule="exact"/>
        <w:ind w:firstLineChars="200" w:firstLine="640"/>
        <w:rPr>
          <w:rFonts w:eastAsia="仿宋_GB2312"/>
          <w:color w:val="000000"/>
          <w:sz w:val="32"/>
          <w:szCs w:val="32"/>
        </w:rPr>
      </w:pPr>
      <w:bookmarkStart w:id="6" w:name="OLE_LINK22"/>
      <w:bookmarkStart w:id="7" w:name="OLE_LINK21"/>
      <w:r>
        <w:rPr>
          <w:rFonts w:eastAsia="仿宋_GB2312" w:hint="eastAsia"/>
          <w:color w:val="000000"/>
          <w:sz w:val="32"/>
          <w:szCs w:val="32"/>
        </w:rPr>
        <w:t>应当提供产品化学</w:t>
      </w:r>
      <w:r>
        <w:rPr>
          <w:rFonts w:eastAsia="仿宋_GB2312"/>
          <w:color w:val="000000"/>
          <w:sz w:val="32"/>
          <w:szCs w:val="32"/>
        </w:rPr>
        <w:t>/</w:t>
      </w:r>
      <w:r>
        <w:rPr>
          <w:rFonts w:eastAsia="仿宋_GB2312" w:hint="eastAsia"/>
          <w:color w:val="000000"/>
          <w:sz w:val="32"/>
          <w:szCs w:val="32"/>
        </w:rPr>
        <w:t>材料表征、物理和</w:t>
      </w:r>
      <w:r>
        <w:rPr>
          <w:rFonts w:eastAsia="仿宋_GB2312"/>
          <w:color w:val="000000"/>
          <w:sz w:val="32"/>
          <w:szCs w:val="32"/>
        </w:rPr>
        <w:t>/</w:t>
      </w:r>
      <w:r>
        <w:rPr>
          <w:rFonts w:eastAsia="仿宋_GB2312" w:hint="eastAsia"/>
          <w:color w:val="000000"/>
          <w:sz w:val="32"/>
          <w:szCs w:val="32"/>
        </w:rPr>
        <w:t>或机械性能指标的确定依据、设计输入来源以及临床意义，所采用的标准或方法、采用的原因及理论基础。</w:t>
      </w:r>
    </w:p>
    <w:bookmarkEnd w:id="6"/>
    <w:bookmarkEnd w:id="7"/>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原材料控制：</w:t>
      </w:r>
      <w:r>
        <w:rPr>
          <w:rFonts w:eastAsia="仿宋_GB2312"/>
          <w:color w:val="000000"/>
          <w:sz w:val="32"/>
          <w:szCs w:val="32"/>
        </w:rPr>
        <w:t>说明原材料的选择依据，明确产品的起始材</w:t>
      </w:r>
      <w:r>
        <w:rPr>
          <w:rFonts w:eastAsia="仿宋_GB2312"/>
          <w:color w:val="000000"/>
          <w:sz w:val="32"/>
          <w:szCs w:val="32"/>
        </w:rPr>
        <w:t>料，列明产品生产过程中由起始材料至终产品所需全部材料的化学名称、商品名</w:t>
      </w:r>
      <w:r>
        <w:rPr>
          <w:rFonts w:eastAsia="仿宋_GB2312"/>
          <w:color w:val="000000"/>
          <w:sz w:val="32"/>
          <w:szCs w:val="32"/>
        </w:rPr>
        <w:t>/</w:t>
      </w:r>
      <w:r>
        <w:rPr>
          <w:rFonts w:eastAsia="仿宋_GB2312"/>
          <w:color w:val="000000"/>
          <w:sz w:val="32"/>
          <w:szCs w:val="32"/>
        </w:rPr>
        <w:t>材料代号、化学结构式</w:t>
      </w:r>
      <w:r>
        <w:rPr>
          <w:rFonts w:eastAsia="仿宋_GB2312"/>
          <w:color w:val="000000"/>
          <w:sz w:val="32"/>
          <w:szCs w:val="32"/>
        </w:rPr>
        <w:t>/</w:t>
      </w:r>
      <w:r>
        <w:rPr>
          <w:rFonts w:eastAsia="仿宋_GB2312"/>
          <w:color w:val="000000"/>
          <w:sz w:val="32"/>
          <w:szCs w:val="32"/>
        </w:rPr>
        <w:t>分子式、不锈钢牌号、使用量或组成比例、供应商名称、符合的标准等</w:t>
      </w:r>
      <w:r>
        <w:rPr>
          <w:rFonts w:eastAsia="仿宋_GB2312" w:hint="eastAsia"/>
          <w:color w:val="000000"/>
          <w:sz w:val="32"/>
          <w:szCs w:val="32"/>
        </w:rPr>
        <w:t>适用的</w:t>
      </w:r>
      <w:r>
        <w:rPr>
          <w:rFonts w:eastAsia="仿宋_GB2312"/>
          <w:color w:val="000000"/>
          <w:sz w:val="32"/>
          <w:szCs w:val="32"/>
        </w:rPr>
        <w:t>基本信息，建议以列表的形式提供。</w:t>
      </w:r>
    </w:p>
    <w:p w:rsidR="005D0947" w:rsidRDefault="00AE56B5">
      <w:pPr>
        <w:spacing w:line="520" w:lineRule="exact"/>
        <w:ind w:firstLineChars="200" w:firstLine="640"/>
        <w:rPr>
          <w:rFonts w:eastAsia="仿宋_GB2312"/>
          <w:sz w:val="32"/>
          <w:szCs w:val="32"/>
        </w:rPr>
      </w:pPr>
      <w:r>
        <w:rPr>
          <w:rFonts w:eastAsia="仿宋_GB2312"/>
          <w:color w:val="000000"/>
          <w:sz w:val="32"/>
          <w:szCs w:val="32"/>
        </w:rPr>
        <w:t>产品性能研究</w:t>
      </w:r>
      <w:r>
        <w:rPr>
          <w:rFonts w:eastAsia="仿宋_GB2312" w:hint="eastAsia"/>
          <w:color w:val="000000"/>
          <w:sz w:val="32"/>
          <w:szCs w:val="32"/>
        </w:rPr>
        <w:t>：</w:t>
      </w:r>
      <w:bookmarkStart w:id="8" w:name="OLE_LINK23"/>
      <w:r>
        <w:rPr>
          <w:rFonts w:eastAsia="仿宋_GB2312"/>
          <w:color w:val="000000"/>
          <w:sz w:val="32"/>
          <w:szCs w:val="32"/>
        </w:rPr>
        <w:t>应当提供产品性能研究资料，</w:t>
      </w:r>
      <w:r>
        <w:rPr>
          <w:rFonts w:eastAsia="仿宋_GB2312" w:hint="eastAsia"/>
          <w:sz w:val="32"/>
          <w:szCs w:val="32"/>
        </w:rPr>
        <w:t>说明产品技术要求中性能指标及检验方法的确定依据，需提供采用的原因及理论基础。依据产品性能研究结果，结合临床需求制定性能指标接受标准。对于自建方法，需提供相应的依据及方法学研究资料。可选择典型型号</w:t>
      </w:r>
      <w:r>
        <w:rPr>
          <w:rFonts w:eastAsia="仿宋_GB2312" w:hint="eastAsia"/>
          <w:sz w:val="32"/>
          <w:szCs w:val="32"/>
        </w:rPr>
        <w:t>/</w:t>
      </w:r>
      <w:r>
        <w:rPr>
          <w:rFonts w:eastAsia="仿宋_GB2312" w:hint="eastAsia"/>
          <w:sz w:val="32"/>
          <w:szCs w:val="32"/>
        </w:rPr>
        <w:t>规格进行</w:t>
      </w:r>
      <w:r>
        <w:rPr>
          <w:rFonts w:eastAsia="仿宋_GB2312"/>
          <w:sz w:val="32"/>
          <w:szCs w:val="32"/>
        </w:rPr>
        <w:t>性能研究</w:t>
      </w:r>
      <w:r>
        <w:rPr>
          <w:rFonts w:eastAsia="仿宋_GB2312" w:hint="eastAsia"/>
          <w:sz w:val="32"/>
          <w:szCs w:val="32"/>
        </w:rPr>
        <w:t>，应结合风险分析结果等因素确定各研</w:t>
      </w:r>
      <w:bookmarkEnd w:id="8"/>
      <w:r>
        <w:rPr>
          <w:rFonts w:eastAsia="仿宋_GB2312" w:hint="eastAsia"/>
          <w:sz w:val="32"/>
          <w:szCs w:val="32"/>
        </w:rPr>
        <w:t>究项目所用样本数量，并对验证结果进行统计学分析。</w:t>
      </w:r>
    </w:p>
    <w:p w:rsidR="005D0947" w:rsidRDefault="00AE56B5">
      <w:pPr>
        <w:spacing w:line="520" w:lineRule="exact"/>
        <w:ind w:firstLineChars="200" w:firstLine="640"/>
        <w:rPr>
          <w:rFonts w:eastAsia="仿宋_GB2312"/>
          <w:color w:val="000000"/>
          <w:sz w:val="32"/>
          <w:szCs w:val="32"/>
        </w:rPr>
      </w:pPr>
      <w:r>
        <w:rPr>
          <w:rFonts w:eastAsia="仿宋_GB2312" w:hint="eastAsia"/>
          <w:sz w:val="32"/>
          <w:szCs w:val="32"/>
        </w:rPr>
        <w:t>活检袋袋体破裂为该类产品的主要不良事件，注册申请人应对活检袋袋体的抗穿刺性能进行研究并提供相关的研究资料。</w:t>
      </w:r>
    </w:p>
    <w:p w:rsidR="005D0947" w:rsidRDefault="00AE56B5">
      <w:pPr>
        <w:snapToGrid w:val="0"/>
        <w:spacing w:line="520" w:lineRule="exact"/>
        <w:ind w:firstLineChars="200" w:firstLine="640"/>
        <w:outlineLvl w:val="2"/>
        <w:rPr>
          <w:rFonts w:eastAsia="仿宋_GB2312"/>
          <w:color w:val="000000"/>
          <w:sz w:val="32"/>
          <w:szCs w:val="32"/>
        </w:rPr>
      </w:pPr>
      <w:bookmarkStart w:id="9" w:name="OLE_LINK25"/>
      <w:bookmarkStart w:id="10" w:name="OLE_LINK24"/>
      <w:r>
        <w:rPr>
          <w:rFonts w:eastAsia="仿宋_GB2312" w:hint="eastAsia"/>
          <w:color w:val="000000"/>
          <w:sz w:val="32"/>
          <w:szCs w:val="32"/>
        </w:rPr>
        <w:t>5.</w:t>
      </w:r>
      <w:r>
        <w:rPr>
          <w:rFonts w:eastAsia="仿宋_GB2312" w:hint="eastAsia"/>
          <w:color w:val="000000"/>
          <w:sz w:val="32"/>
          <w:szCs w:val="32"/>
        </w:rPr>
        <w:t>生物学特性研究</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lastRenderedPageBreak/>
        <w:t>对于活检袋与人体直接或间接接触的部分，应当进行生物相容性评价</w:t>
      </w:r>
      <w:r>
        <w:rPr>
          <w:rFonts w:eastAsia="仿宋_GB2312"/>
          <w:color w:val="000000"/>
          <w:sz w:val="32"/>
          <w:szCs w:val="32"/>
        </w:rPr>
        <w:t>。</w:t>
      </w:r>
      <w:r>
        <w:rPr>
          <w:rFonts w:eastAsia="仿宋_GB2312" w:hint="eastAsia"/>
          <w:sz w:val="32"/>
          <w:szCs w:val="32"/>
        </w:rPr>
        <w:t>按照</w:t>
      </w:r>
      <w:r>
        <w:rPr>
          <w:rFonts w:eastAsia="仿宋_GB2312" w:hint="eastAsia"/>
          <w:sz w:val="32"/>
          <w:szCs w:val="32"/>
        </w:rPr>
        <w:t>GB/T 16886</w:t>
      </w:r>
      <w:r>
        <w:rPr>
          <w:rFonts w:eastAsia="仿宋_GB2312" w:hint="eastAsia"/>
          <w:sz w:val="32"/>
          <w:szCs w:val="32"/>
        </w:rPr>
        <w:t>系列标准、《医疗器械生物学评价和审查指</w:t>
      </w:r>
      <w:bookmarkEnd w:id="9"/>
      <w:bookmarkEnd w:id="10"/>
      <w:r>
        <w:rPr>
          <w:rFonts w:eastAsia="仿宋_GB2312" w:hint="eastAsia"/>
          <w:sz w:val="32"/>
          <w:szCs w:val="32"/>
        </w:rPr>
        <w:t>南》要求开展生物相容性评价，资料应当包括：</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5.1</w:t>
      </w:r>
      <w:r>
        <w:rPr>
          <w:rFonts w:eastAsia="仿宋_GB2312" w:hint="eastAsia"/>
          <w:sz w:val="32"/>
          <w:szCs w:val="32"/>
        </w:rPr>
        <w:t>描述产品所用材料及与人体接触性质，设计和生产过程中可能引入的污染物和残留物，设计和生产过程中可能产生的析出物（包括可沥滤物和</w:t>
      </w:r>
      <w:r>
        <w:rPr>
          <w:rFonts w:eastAsia="仿宋_GB2312" w:hint="eastAsia"/>
          <w:sz w:val="32"/>
          <w:szCs w:val="32"/>
        </w:rPr>
        <w:t>/</w:t>
      </w:r>
      <w:r>
        <w:rPr>
          <w:rFonts w:eastAsia="仿宋_GB2312" w:hint="eastAsia"/>
          <w:sz w:val="32"/>
          <w:szCs w:val="32"/>
        </w:rPr>
        <w:t>或蒸发物）、加工残留物，与医疗器械</w:t>
      </w:r>
      <w:r>
        <w:rPr>
          <w:rFonts w:eastAsia="仿宋_GB2312" w:hint="eastAsia"/>
          <w:sz w:val="32"/>
          <w:szCs w:val="32"/>
        </w:rPr>
        <w:t>直接接触的包装材料等相关信息。</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5.2</w:t>
      </w:r>
      <w:r>
        <w:rPr>
          <w:rFonts w:eastAsia="仿宋_GB2312" w:hint="eastAsia"/>
          <w:sz w:val="32"/>
          <w:szCs w:val="32"/>
        </w:rPr>
        <w:t>描述申报产品的物理和</w:t>
      </w:r>
      <w:r>
        <w:rPr>
          <w:rFonts w:eastAsia="仿宋_GB2312" w:hint="eastAsia"/>
          <w:sz w:val="32"/>
          <w:szCs w:val="32"/>
        </w:rPr>
        <w:t>/</w:t>
      </w:r>
      <w:r>
        <w:rPr>
          <w:rFonts w:eastAsia="仿宋_GB2312" w:hint="eastAsia"/>
          <w:sz w:val="32"/>
          <w:szCs w:val="32"/>
        </w:rPr>
        <w:t>或化学信息并考虑材料表征（如适用），如器械的物理作用可能产生生物学风险，应当进行评价。</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5.3</w:t>
      </w:r>
      <w:r>
        <w:rPr>
          <w:rFonts w:eastAsia="仿宋_GB2312" w:hint="eastAsia"/>
          <w:sz w:val="32"/>
          <w:szCs w:val="32"/>
        </w:rPr>
        <w:t>生物学评价的策略、依据和方法。</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5.4</w:t>
      </w:r>
      <w:r>
        <w:rPr>
          <w:rFonts w:eastAsia="仿宋_GB2312" w:hint="eastAsia"/>
          <w:sz w:val="32"/>
          <w:szCs w:val="32"/>
        </w:rPr>
        <w:t>已有数据和结果的评价。</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5.5</w:t>
      </w:r>
      <w:r>
        <w:rPr>
          <w:rFonts w:eastAsia="仿宋_GB2312" w:hint="eastAsia"/>
          <w:sz w:val="32"/>
          <w:szCs w:val="32"/>
        </w:rPr>
        <w:t>选择或豁免生物学试验的理由和论证。</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5.6</w:t>
      </w:r>
      <w:r>
        <w:rPr>
          <w:rFonts w:eastAsia="仿宋_GB2312" w:hint="eastAsia"/>
          <w:sz w:val="32"/>
          <w:szCs w:val="32"/>
        </w:rPr>
        <w:t>完成生物学评价所需的其他数据。</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活检袋</w:t>
      </w:r>
      <w:r>
        <w:rPr>
          <w:rFonts w:eastAsia="仿宋_GB2312"/>
          <w:color w:val="000000"/>
          <w:sz w:val="32"/>
          <w:szCs w:val="32"/>
        </w:rPr>
        <w:t>属于</w:t>
      </w:r>
      <w:r>
        <w:rPr>
          <w:rFonts w:eastAsia="仿宋_GB2312" w:hint="eastAsia"/>
          <w:color w:val="000000"/>
          <w:sz w:val="32"/>
          <w:szCs w:val="32"/>
        </w:rPr>
        <w:t>与组织接触的</w:t>
      </w:r>
      <w:r>
        <w:rPr>
          <w:rFonts w:eastAsia="仿宋_GB2312"/>
          <w:color w:val="000000"/>
          <w:sz w:val="32"/>
          <w:szCs w:val="32"/>
        </w:rPr>
        <w:t>短期外部接入</w:t>
      </w:r>
      <w:r>
        <w:rPr>
          <w:rFonts w:eastAsia="仿宋_GB2312" w:hint="eastAsia"/>
          <w:color w:val="000000"/>
          <w:sz w:val="32"/>
          <w:szCs w:val="32"/>
        </w:rPr>
        <w:t>医疗器械</w:t>
      </w:r>
      <w:r>
        <w:rPr>
          <w:rFonts w:eastAsia="仿宋_GB2312"/>
          <w:color w:val="000000"/>
          <w:sz w:val="32"/>
          <w:szCs w:val="32"/>
        </w:rPr>
        <w:t>，需考虑的生物</w:t>
      </w:r>
      <w:r>
        <w:rPr>
          <w:rFonts w:eastAsia="仿宋_GB2312" w:hint="eastAsia"/>
          <w:color w:val="000000"/>
          <w:sz w:val="32"/>
          <w:szCs w:val="32"/>
        </w:rPr>
        <w:t>学</w:t>
      </w:r>
      <w:r>
        <w:rPr>
          <w:rFonts w:eastAsia="仿宋_GB2312"/>
          <w:color w:val="000000"/>
          <w:sz w:val="32"/>
          <w:szCs w:val="32"/>
        </w:rPr>
        <w:t>评价</w:t>
      </w:r>
      <w:r>
        <w:rPr>
          <w:rFonts w:eastAsia="仿宋_GB2312" w:hint="eastAsia"/>
          <w:color w:val="000000"/>
          <w:sz w:val="32"/>
          <w:szCs w:val="32"/>
        </w:rPr>
        <w:t>终点至少</w:t>
      </w:r>
      <w:r>
        <w:rPr>
          <w:rFonts w:eastAsia="仿宋_GB2312"/>
          <w:color w:val="000000"/>
          <w:sz w:val="32"/>
          <w:szCs w:val="32"/>
        </w:rPr>
        <w:t>包括：</w:t>
      </w:r>
      <w:bookmarkStart w:id="11" w:name="OLE_LINK27"/>
      <w:bookmarkStart w:id="12" w:name="OLE_LINK26"/>
      <w:r>
        <w:rPr>
          <w:rFonts w:eastAsia="仿宋_GB2312"/>
          <w:color w:val="000000"/>
          <w:sz w:val="32"/>
          <w:szCs w:val="32"/>
        </w:rPr>
        <w:t>细胞毒性、致敏</w:t>
      </w:r>
      <w:r>
        <w:rPr>
          <w:rFonts w:eastAsia="仿宋_GB2312" w:hint="eastAsia"/>
          <w:color w:val="000000"/>
          <w:sz w:val="32"/>
          <w:szCs w:val="32"/>
        </w:rPr>
        <w:t>反应</w:t>
      </w:r>
      <w:r>
        <w:rPr>
          <w:rFonts w:eastAsia="仿宋_GB2312"/>
          <w:color w:val="000000"/>
          <w:sz w:val="32"/>
          <w:szCs w:val="32"/>
        </w:rPr>
        <w:t>、皮内反应</w:t>
      </w:r>
      <w:r>
        <w:rPr>
          <w:rFonts w:eastAsia="仿宋_GB2312" w:hint="eastAsia"/>
          <w:color w:val="000000"/>
          <w:sz w:val="32"/>
          <w:szCs w:val="32"/>
        </w:rPr>
        <w:t>、材料介导的致热性、急性全身毒性</w:t>
      </w:r>
      <w:r>
        <w:rPr>
          <w:rFonts w:eastAsia="仿宋_GB2312"/>
          <w:color w:val="000000"/>
          <w:sz w:val="32"/>
          <w:szCs w:val="32"/>
        </w:rPr>
        <w:t>。</w:t>
      </w:r>
      <w:bookmarkEnd w:id="11"/>
      <w:bookmarkEnd w:id="12"/>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6.</w:t>
      </w:r>
      <w:r>
        <w:rPr>
          <w:rFonts w:eastAsia="仿宋_GB2312" w:hint="eastAsia"/>
          <w:color w:val="000000"/>
          <w:sz w:val="32"/>
          <w:szCs w:val="32"/>
        </w:rPr>
        <w:t>灭菌工艺研究</w:t>
      </w:r>
    </w:p>
    <w:p w:rsidR="005D0947" w:rsidRDefault="00AE56B5">
      <w:pPr>
        <w:spacing w:line="520" w:lineRule="exact"/>
        <w:ind w:firstLineChars="200" w:firstLine="640"/>
        <w:rPr>
          <w:rFonts w:eastAsia="仿宋_GB2312"/>
          <w:color w:val="000000"/>
          <w:sz w:val="32"/>
          <w:szCs w:val="32"/>
        </w:rPr>
      </w:pPr>
      <w:r>
        <w:rPr>
          <w:rFonts w:eastAsia="仿宋_GB2312" w:hint="eastAsia"/>
          <w:sz w:val="32"/>
          <w:szCs w:val="32"/>
        </w:rPr>
        <w:t>明确产品的灭菌工艺（方法和参数）和无菌保证水平（</w:t>
      </w:r>
      <w:r>
        <w:rPr>
          <w:rFonts w:eastAsia="仿宋_GB2312" w:hint="eastAsia"/>
          <w:sz w:val="32"/>
          <w:szCs w:val="32"/>
        </w:rPr>
        <w:t>SAL</w:t>
      </w:r>
      <w:r>
        <w:rPr>
          <w:rFonts w:eastAsia="仿宋_GB2312" w:hint="eastAsia"/>
          <w:sz w:val="32"/>
          <w:szCs w:val="32"/>
        </w:rPr>
        <w:t>），</w:t>
      </w:r>
      <w:r>
        <w:rPr>
          <w:rFonts w:eastAsia="仿宋_GB2312" w:hint="eastAsia"/>
          <w:sz w:val="32"/>
          <w:szCs w:val="32"/>
        </w:rPr>
        <w:t>活检袋的无菌保证水平（</w:t>
      </w:r>
      <w:r>
        <w:rPr>
          <w:rFonts w:eastAsia="仿宋_GB2312" w:hint="eastAsia"/>
          <w:sz w:val="32"/>
          <w:szCs w:val="32"/>
        </w:rPr>
        <w:t>SAL</w:t>
      </w:r>
      <w:r>
        <w:rPr>
          <w:rFonts w:eastAsia="仿宋_GB2312" w:hint="eastAsia"/>
          <w:sz w:val="32"/>
          <w:szCs w:val="32"/>
        </w:rPr>
        <w:t>）需达到</w:t>
      </w:r>
      <w:r>
        <w:rPr>
          <w:rFonts w:eastAsia="仿宋_GB2312" w:hint="eastAsia"/>
          <w:sz w:val="32"/>
          <w:szCs w:val="32"/>
        </w:rPr>
        <w:t>10</w:t>
      </w:r>
      <w:r>
        <w:rPr>
          <w:rFonts w:eastAsia="仿宋_GB2312" w:hint="eastAsia"/>
          <w:sz w:val="32"/>
          <w:szCs w:val="32"/>
          <w:vertAlign w:val="superscript"/>
        </w:rPr>
        <w:t>-6</w:t>
      </w:r>
      <w:r>
        <w:rPr>
          <w:rFonts w:eastAsia="仿宋_GB2312" w:hint="eastAsia"/>
          <w:sz w:val="32"/>
          <w:szCs w:val="32"/>
        </w:rPr>
        <w:t>。可参考</w:t>
      </w:r>
      <w:r>
        <w:rPr>
          <w:rFonts w:eastAsia="仿宋_GB2312" w:hint="eastAsia"/>
          <w:sz w:val="32"/>
          <w:szCs w:val="32"/>
        </w:rPr>
        <w:t>GB 18279</w:t>
      </w:r>
      <w:r>
        <w:rPr>
          <w:rFonts w:eastAsia="仿宋_GB2312" w:hint="eastAsia"/>
          <w:sz w:val="32"/>
          <w:szCs w:val="32"/>
        </w:rPr>
        <w:t>系列标准、</w:t>
      </w:r>
      <w:r>
        <w:rPr>
          <w:rFonts w:eastAsia="仿宋_GB2312" w:hint="eastAsia"/>
          <w:sz w:val="32"/>
          <w:szCs w:val="32"/>
        </w:rPr>
        <w:t>GB 18280</w:t>
      </w:r>
      <w:r>
        <w:rPr>
          <w:rFonts w:eastAsia="仿宋_GB2312" w:hint="eastAsia"/>
          <w:sz w:val="32"/>
          <w:szCs w:val="32"/>
        </w:rPr>
        <w:t>系列标准等，提供灭菌研究资料。若灭菌使用的方法容易出现残留，如环氧乙烷灭菌，应当明确残留物信息及采取的具体处理措施，参考</w:t>
      </w:r>
      <w:r>
        <w:rPr>
          <w:rFonts w:eastAsia="仿宋_GB2312" w:hint="eastAsia"/>
          <w:sz w:val="32"/>
          <w:szCs w:val="32"/>
        </w:rPr>
        <w:t>GB/T 16886.7</w:t>
      </w:r>
      <w:r>
        <w:rPr>
          <w:rFonts w:eastAsia="仿宋_GB2312" w:hint="eastAsia"/>
          <w:sz w:val="32"/>
          <w:szCs w:val="32"/>
        </w:rPr>
        <w:t>等明确残留物（如环氧乙烷、</w:t>
      </w:r>
      <w:r>
        <w:rPr>
          <w:rFonts w:eastAsia="仿宋_GB2312" w:hint="eastAsia"/>
          <w:sz w:val="32"/>
          <w:szCs w:val="32"/>
        </w:rPr>
        <w:t>2</w:t>
      </w:r>
      <w:r>
        <w:rPr>
          <w:rFonts w:eastAsia="仿宋_GB2312"/>
          <w:sz w:val="32"/>
          <w:szCs w:val="32"/>
        </w:rPr>
        <w:t>-</w:t>
      </w:r>
      <w:r>
        <w:rPr>
          <w:rFonts w:eastAsia="仿宋_GB2312" w:hint="eastAsia"/>
          <w:sz w:val="32"/>
          <w:szCs w:val="32"/>
        </w:rPr>
        <w:t>氯乙醇）残留量接受标准及其确定依据，并提供环氧乙烷解析的研究资料。</w:t>
      </w:r>
    </w:p>
    <w:p w:rsidR="005D0947" w:rsidRDefault="00AE56B5">
      <w:pPr>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7.</w:t>
      </w:r>
      <w:r>
        <w:rPr>
          <w:rFonts w:eastAsia="仿宋_GB2312" w:hint="eastAsia"/>
          <w:color w:val="000000"/>
          <w:sz w:val="32"/>
          <w:szCs w:val="32"/>
        </w:rPr>
        <w:t>稳定性研究</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lastRenderedPageBreak/>
        <w:t>7.1</w:t>
      </w:r>
      <w:r>
        <w:rPr>
          <w:rFonts w:eastAsia="仿宋_GB2312" w:hint="eastAsia"/>
          <w:color w:val="000000"/>
          <w:sz w:val="32"/>
          <w:szCs w:val="32"/>
        </w:rPr>
        <w:t>货架有效期</w:t>
      </w:r>
    </w:p>
    <w:p w:rsidR="005D0947" w:rsidRDefault="00AE56B5">
      <w:pPr>
        <w:spacing w:line="520" w:lineRule="exact"/>
        <w:ind w:firstLineChars="200" w:firstLine="640"/>
        <w:rPr>
          <w:rFonts w:eastAsia="仿宋_GB2312"/>
          <w:color w:val="000000"/>
          <w:sz w:val="32"/>
          <w:szCs w:val="32"/>
        </w:rPr>
      </w:pPr>
      <w:r>
        <w:rPr>
          <w:rFonts w:eastAsia="仿宋_GB2312" w:hint="eastAsia"/>
          <w:sz w:val="32"/>
          <w:szCs w:val="32"/>
        </w:rPr>
        <w:t>货架有效期包括产品有效期和包装有效期。</w:t>
      </w:r>
      <w:r>
        <w:rPr>
          <w:rFonts w:eastAsia="仿宋_GB2312"/>
          <w:color w:val="000000"/>
          <w:sz w:val="32"/>
          <w:szCs w:val="32"/>
        </w:rPr>
        <w:t>可以提交实时老化结果，也可以提交加速老化结果</w:t>
      </w:r>
      <w:r>
        <w:rPr>
          <w:rFonts w:eastAsia="仿宋_GB2312" w:hint="eastAsia"/>
          <w:color w:val="000000"/>
          <w:sz w:val="32"/>
          <w:szCs w:val="32"/>
        </w:rPr>
        <w:t>。</w:t>
      </w:r>
      <w:r>
        <w:rPr>
          <w:rFonts w:eastAsia="仿宋_GB2312"/>
          <w:color w:val="000000"/>
          <w:sz w:val="32"/>
          <w:szCs w:val="32"/>
        </w:rPr>
        <w:t>加速老化可按</w:t>
      </w:r>
      <w:r>
        <w:rPr>
          <w:rFonts w:eastAsia="仿宋_GB2312"/>
          <w:color w:val="000000"/>
          <w:sz w:val="32"/>
          <w:szCs w:val="32"/>
        </w:rPr>
        <w:t>YY/T 0681.1</w:t>
      </w:r>
      <w:r>
        <w:rPr>
          <w:rFonts w:eastAsia="仿宋_GB2312"/>
          <w:color w:val="000000"/>
          <w:sz w:val="32"/>
          <w:szCs w:val="32"/>
        </w:rPr>
        <w:t>要求提交产品及包装的效期</w:t>
      </w:r>
      <w:r>
        <w:rPr>
          <w:rFonts w:eastAsia="仿宋_GB2312"/>
          <w:color w:val="000000"/>
          <w:sz w:val="32"/>
          <w:szCs w:val="32"/>
        </w:rPr>
        <w:t>验证方案及报告，</w:t>
      </w:r>
      <w:r>
        <w:rPr>
          <w:rFonts w:eastAsia="仿宋_GB2312"/>
          <w:spacing w:val="-4"/>
          <w:sz w:val="32"/>
          <w:szCs w:val="28"/>
        </w:rPr>
        <w:t>其中</w:t>
      </w:r>
      <w:r>
        <w:rPr>
          <w:rFonts w:eastAsia="仿宋_GB2312"/>
          <w:spacing w:val="-4"/>
          <w:sz w:val="32"/>
          <w:szCs w:val="28"/>
        </w:rPr>
        <w:t>“</w:t>
      </w:r>
      <w:r>
        <w:rPr>
          <w:rFonts w:eastAsia="仿宋_GB2312"/>
          <w:spacing w:val="-4"/>
          <w:sz w:val="32"/>
          <w:szCs w:val="28"/>
        </w:rPr>
        <w:t>室温或环境温度（</w:t>
      </w:r>
      <w:r>
        <w:rPr>
          <w:rFonts w:eastAsia="仿宋_GB2312"/>
          <w:spacing w:val="-4"/>
          <w:sz w:val="32"/>
          <w:szCs w:val="28"/>
        </w:rPr>
        <w:t>T</w:t>
      </w:r>
      <w:r>
        <w:rPr>
          <w:rFonts w:eastAsia="仿宋_GB2312"/>
          <w:spacing w:val="-4"/>
          <w:sz w:val="32"/>
          <w:szCs w:val="28"/>
          <w:vertAlign w:val="subscript"/>
        </w:rPr>
        <w:t>RT</w:t>
      </w:r>
      <w:r>
        <w:rPr>
          <w:rFonts w:eastAsia="仿宋_GB2312"/>
          <w:spacing w:val="-4"/>
          <w:sz w:val="32"/>
          <w:szCs w:val="28"/>
        </w:rPr>
        <w:t>）</w:t>
      </w:r>
      <w:r>
        <w:rPr>
          <w:rFonts w:eastAsia="仿宋_GB2312"/>
          <w:spacing w:val="-4"/>
          <w:sz w:val="32"/>
          <w:szCs w:val="28"/>
        </w:rPr>
        <w:t>”</w:t>
      </w:r>
      <w:r>
        <w:rPr>
          <w:rFonts w:eastAsia="仿宋_GB2312"/>
          <w:spacing w:val="-4"/>
          <w:sz w:val="32"/>
          <w:szCs w:val="28"/>
        </w:rPr>
        <w:t>应选择能代表实际产品储存和使用条件的温度，建议申请人采用保守值设计</w:t>
      </w:r>
      <w:r>
        <w:rPr>
          <w:rFonts w:eastAsia="仿宋_GB2312"/>
          <w:color w:val="000000"/>
          <w:sz w:val="32"/>
          <w:szCs w:val="32"/>
        </w:rPr>
        <w:t>。</w:t>
      </w:r>
      <w:r>
        <w:rPr>
          <w:rFonts w:eastAsia="仿宋_GB2312" w:hint="eastAsia"/>
          <w:sz w:val="32"/>
          <w:szCs w:val="32"/>
        </w:rPr>
        <w:t>有效期验证</w:t>
      </w:r>
      <w:r>
        <w:rPr>
          <w:rFonts w:eastAsia="仿宋_GB2312"/>
          <w:sz w:val="32"/>
          <w:szCs w:val="32"/>
        </w:rPr>
        <w:t>方案中</w:t>
      </w:r>
      <w:r>
        <w:rPr>
          <w:rFonts w:eastAsia="仿宋_GB2312" w:hint="eastAsia"/>
          <w:sz w:val="32"/>
          <w:szCs w:val="32"/>
        </w:rPr>
        <w:t>应</w:t>
      </w:r>
      <w:r>
        <w:rPr>
          <w:rFonts w:eastAsia="仿宋_GB2312"/>
          <w:sz w:val="32"/>
          <w:szCs w:val="32"/>
        </w:rPr>
        <w:t>设定</w:t>
      </w:r>
      <w:r>
        <w:rPr>
          <w:rFonts w:eastAsia="仿宋_GB2312" w:hint="eastAsia"/>
          <w:sz w:val="32"/>
          <w:szCs w:val="32"/>
        </w:rPr>
        <w:t>验证</w:t>
      </w:r>
      <w:r>
        <w:rPr>
          <w:rFonts w:eastAsia="仿宋_GB2312"/>
          <w:sz w:val="32"/>
          <w:szCs w:val="32"/>
        </w:rPr>
        <w:t>项目、</w:t>
      </w:r>
      <w:r>
        <w:rPr>
          <w:rFonts w:eastAsia="仿宋_GB2312" w:hint="eastAsia"/>
          <w:sz w:val="32"/>
          <w:szCs w:val="32"/>
        </w:rPr>
        <w:t>验证</w:t>
      </w:r>
      <w:r>
        <w:rPr>
          <w:rFonts w:eastAsia="仿宋_GB2312"/>
          <w:sz w:val="32"/>
          <w:szCs w:val="32"/>
        </w:rPr>
        <w:t>方法及判定标准。</w:t>
      </w:r>
      <w:r>
        <w:rPr>
          <w:rFonts w:eastAsia="仿宋_GB2312" w:hint="eastAsia"/>
          <w:sz w:val="32"/>
          <w:szCs w:val="32"/>
        </w:rPr>
        <w:t>验证</w:t>
      </w:r>
      <w:r>
        <w:rPr>
          <w:rFonts w:eastAsia="仿宋_GB2312"/>
          <w:sz w:val="32"/>
          <w:szCs w:val="32"/>
        </w:rPr>
        <w:t>项目包括产品自身性能</w:t>
      </w:r>
      <w:r>
        <w:rPr>
          <w:rFonts w:eastAsia="仿宋_GB2312" w:hint="eastAsia"/>
          <w:sz w:val="32"/>
          <w:szCs w:val="32"/>
        </w:rPr>
        <w:t>验证</w:t>
      </w:r>
      <w:r>
        <w:rPr>
          <w:rFonts w:eastAsia="仿宋_GB2312"/>
          <w:sz w:val="32"/>
          <w:szCs w:val="32"/>
        </w:rPr>
        <w:t>和包装系统性能</w:t>
      </w:r>
      <w:r>
        <w:rPr>
          <w:rFonts w:eastAsia="仿宋_GB2312" w:hint="eastAsia"/>
          <w:sz w:val="32"/>
          <w:szCs w:val="32"/>
        </w:rPr>
        <w:t>验证</w:t>
      </w:r>
      <w:r>
        <w:rPr>
          <w:rFonts w:eastAsia="仿宋_GB2312"/>
          <w:sz w:val="32"/>
          <w:szCs w:val="32"/>
        </w:rPr>
        <w:t>两方面。</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7.2</w:t>
      </w:r>
      <w:r>
        <w:rPr>
          <w:rFonts w:eastAsia="仿宋_GB2312" w:hint="eastAsia"/>
          <w:sz w:val="32"/>
          <w:szCs w:val="32"/>
        </w:rPr>
        <w:t>包装及</w:t>
      </w:r>
      <w:r>
        <w:rPr>
          <w:rFonts w:eastAsia="仿宋_GB2312"/>
          <w:sz w:val="32"/>
          <w:szCs w:val="32"/>
        </w:rPr>
        <w:t>包装完整性</w:t>
      </w:r>
    </w:p>
    <w:p w:rsidR="005D0947" w:rsidRDefault="00AE56B5">
      <w:pPr>
        <w:spacing w:line="560" w:lineRule="exact"/>
        <w:ind w:firstLineChars="200" w:firstLine="640"/>
        <w:rPr>
          <w:rFonts w:eastAsia="仿宋_GB2312"/>
          <w:bCs/>
          <w:color w:val="000000"/>
          <w:sz w:val="32"/>
          <w:szCs w:val="32"/>
        </w:rPr>
      </w:pPr>
      <w:r>
        <w:rPr>
          <w:rFonts w:eastAsia="仿宋_GB2312" w:hint="eastAsia"/>
          <w:bCs/>
          <w:color w:val="000000"/>
          <w:sz w:val="32"/>
          <w:szCs w:val="32"/>
        </w:rPr>
        <w:t>应提交在宣称的有效期内以及运输储存条件下，保持包装完整性的依据。</w:t>
      </w:r>
    </w:p>
    <w:p w:rsidR="005D0947" w:rsidRDefault="00AE56B5">
      <w:pPr>
        <w:spacing w:line="560" w:lineRule="exact"/>
        <w:ind w:firstLineChars="200" w:firstLine="640"/>
        <w:rPr>
          <w:rFonts w:eastAsia="仿宋_GB2312"/>
          <w:bCs/>
          <w:color w:val="000000"/>
          <w:sz w:val="32"/>
          <w:szCs w:val="32"/>
        </w:rPr>
      </w:pPr>
      <w:r>
        <w:rPr>
          <w:rFonts w:eastAsia="仿宋_GB2312" w:hint="eastAsia"/>
          <w:bCs/>
          <w:color w:val="000000"/>
          <w:sz w:val="32"/>
          <w:szCs w:val="32"/>
        </w:rPr>
        <w:t>产品包装验证可依据有关标准进行（</w:t>
      </w:r>
      <w:r>
        <w:rPr>
          <w:rFonts w:eastAsia="仿宋_GB2312" w:hint="eastAsia"/>
          <w:bCs/>
          <w:sz w:val="32"/>
          <w:szCs w:val="32"/>
        </w:rPr>
        <w:t>可参考</w:t>
      </w:r>
      <w:r>
        <w:rPr>
          <w:rFonts w:eastAsia="仿宋_GB2312" w:hint="eastAsia"/>
          <w:bCs/>
          <w:sz w:val="32"/>
          <w:szCs w:val="32"/>
        </w:rPr>
        <w:t>YY/T 0681</w:t>
      </w:r>
      <w:r>
        <w:rPr>
          <w:rFonts w:eastAsia="仿宋_GB2312" w:hint="eastAsia"/>
          <w:bCs/>
          <w:sz w:val="32"/>
          <w:szCs w:val="32"/>
        </w:rPr>
        <w:t>、</w:t>
      </w:r>
      <w:r>
        <w:rPr>
          <w:rFonts w:eastAsia="仿宋_GB2312" w:hint="eastAsia"/>
          <w:bCs/>
          <w:sz w:val="32"/>
          <w:szCs w:val="32"/>
        </w:rPr>
        <w:t>GB/T 19633</w:t>
      </w:r>
      <w:r>
        <w:rPr>
          <w:rFonts w:eastAsia="仿宋_GB2312" w:hint="eastAsia"/>
          <w:bCs/>
          <w:sz w:val="32"/>
          <w:szCs w:val="32"/>
        </w:rPr>
        <w:t>、</w:t>
      </w:r>
      <w:r>
        <w:rPr>
          <w:rFonts w:eastAsia="仿宋_GB2312" w:hint="eastAsia"/>
          <w:bCs/>
          <w:sz w:val="32"/>
          <w:szCs w:val="32"/>
        </w:rPr>
        <w:t>GB/T 4857</w:t>
      </w:r>
      <w:r>
        <w:rPr>
          <w:rFonts w:eastAsia="仿宋_GB2312" w:hint="eastAsia"/>
          <w:bCs/>
          <w:sz w:val="32"/>
          <w:szCs w:val="32"/>
        </w:rPr>
        <w:t>等系列标准</w:t>
      </w:r>
      <w:r>
        <w:rPr>
          <w:rFonts w:eastAsia="仿宋_GB2312" w:hint="eastAsia"/>
          <w:bCs/>
          <w:color w:val="000000"/>
          <w:sz w:val="32"/>
          <w:szCs w:val="32"/>
        </w:rPr>
        <w:t>），提交产品的包装验证报告。包装材料的选择应考虑以下因素：包装材料的物理化学性能；包装材料所能提供的物理、化学和微生物屏障保护；包装材料与成型和密封过程的适应性；包装材料与产品的适应性；包装材料与标签系统的适应性；包装材料与贮存运输过程的适合性；包装有效期。包装验证的资料内容应与包装说明中给出的信息相符。</w:t>
      </w:r>
    </w:p>
    <w:p w:rsidR="005D0947" w:rsidRDefault="00AE56B5">
      <w:pPr>
        <w:spacing w:line="560" w:lineRule="exact"/>
        <w:ind w:firstLineChars="200" w:firstLine="640"/>
        <w:rPr>
          <w:rFonts w:eastAsia="仿宋_GB2312"/>
          <w:bCs/>
          <w:sz w:val="32"/>
          <w:szCs w:val="32"/>
        </w:rPr>
      </w:pPr>
      <w:r>
        <w:rPr>
          <w:rFonts w:eastAsia="仿宋_GB2312"/>
          <w:bCs/>
          <w:color w:val="000000"/>
          <w:sz w:val="32"/>
          <w:szCs w:val="32"/>
        </w:rPr>
        <w:t>提供运输稳定性研究资料，证明在生产企业规定的运输条件下，运输过程中的环境条件（例如：震动、振动、温度和湿度的波动）不会对医疗器械的特性和性能，包括完整性和清洁度，造成不利影响。</w:t>
      </w:r>
    </w:p>
    <w:p w:rsidR="005D0947" w:rsidRDefault="00AE56B5">
      <w:pPr>
        <w:spacing w:line="520" w:lineRule="exact"/>
        <w:ind w:leftChars="76" w:left="160" w:firstLineChars="150" w:firstLine="480"/>
        <w:rPr>
          <w:rFonts w:eastAsia="仿宋_GB2312"/>
          <w:color w:val="000000"/>
          <w:sz w:val="32"/>
          <w:szCs w:val="32"/>
        </w:rPr>
      </w:pPr>
      <w:r>
        <w:rPr>
          <w:rFonts w:eastAsia="仿宋_GB2312" w:hint="eastAsia"/>
          <w:color w:val="000000"/>
          <w:sz w:val="32"/>
          <w:szCs w:val="32"/>
        </w:rPr>
        <w:t>8</w:t>
      </w:r>
      <w:r>
        <w:rPr>
          <w:rFonts w:eastAsia="仿宋_GB2312"/>
          <w:color w:val="000000"/>
          <w:sz w:val="32"/>
          <w:szCs w:val="32"/>
        </w:rPr>
        <w:t>.</w:t>
      </w:r>
      <w:r>
        <w:rPr>
          <w:rFonts w:eastAsia="仿宋_GB2312" w:hint="eastAsia"/>
          <w:color w:val="000000"/>
          <w:sz w:val="32"/>
          <w:szCs w:val="32"/>
        </w:rPr>
        <w:t>其他资料</w:t>
      </w:r>
    </w:p>
    <w:p w:rsidR="005D0947" w:rsidRDefault="00AE56B5">
      <w:pPr>
        <w:spacing w:line="520" w:lineRule="exact"/>
        <w:ind w:firstLineChars="200" w:firstLine="640"/>
        <w:rPr>
          <w:rFonts w:eastAsia="仿宋_GB2312"/>
          <w:color w:val="000000"/>
          <w:sz w:val="32"/>
          <w:szCs w:val="32"/>
        </w:rPr>
      </w:pPr>
      <w:r>
        <w:rPr>
          <w:rFonts w:eastAsia="仿宋_GB2312" w:cs="仿宋_GB2312" w:hint="eastAsia"/>
          <w:snapToGrid w:val="0"/>
          <w:sz w:val="32"/>
          <w:szCs w:val="32"/>
        </w:rPr>
        <w:lastRenderedPageBreak/>
        <w:t>活检袋已列入</w:t>
      </w:r>
      <w:r>
        <w:rPr>
          <w:rFonts w:eastAsia="仿宋_GB2312" w:cs="仿宋_GB2312" w:hint="eastAsia"/>
          <w:snapToGrid w:val="0"/>
          <w:sz w:val="32"/>
          <w:szCs w:val="32"/>
        </w:rPr>
        <w:t>《免于进行临床评价医疗器械目录》（以下简称《目录》），对于符合《目录》中分类编码为</w:t>
      </w:r>
      <w:r>
        <w:rPr>
          <w:rFonts w:eastAsia="仿宋_GB2312" w:cs="仿宋_GB2312" w:hint="eastAsia"/>
          <w:snapToGrid w:val="0"/>
          <w:sz w:val="32"/>
          <w:szCs w:val="32"/>
        </w:rPr>
        <w:t>06-16-06</w:t>
      </w:r>
      <w:r>
        <w:rPr>
          <w:rFonts w:eastAsia="仿宋_GB2312" w:cs="仿宋_GB2312" w:hint="eastAsia"/>
          <w:snapToGrid w:val="0"/>
          <w:sz w:val="32"/>
          <w:szCs w:val="32"/>
        </w:rPr>
        <w:t>的，注册申请人需提交申报产品相关信息与《目录》所述内容的对比资料以及申报产品与已获准境内注册的《目录》中医疗器械的对比表，具体提交资料的要求可参照《列入免于临床评价医疗器械目录产品对比说明技术指导原则》。</w:t>
      </w:r>
    </w:p>
    <w:p w:rsidR="005D0947" w:rsidRDefault="00AE56B5">
      <w:pPr>
        <w:spacing w:line="520" w:lineRule="exact"/>
        <w:ind w:firstLineChars="200" w:firstLine="640"/>
        <w:outlineLvl w:val="1"/>
        <w:rPr>
          <w:rFonts w:eastAsia="楷体_GB2312"/>
          <w:bCs/>
          <w:iCs/>
          <w:sz w:val="32"/>
          <w:szCs w:val="28"/>
        </w:rPr>
      </w:pPr>
      <w:r>
        <w:rPr>
          <w:rFonts w:eastAsia="楷体_GB2312" w:hint="eastAsia"/>
          <w:bCs/>
          <w:iCs/>
          <w:sz w:val="32"/>
          <w:szCs w:val="28"/>
        </w:rPr>
        <w:t>（五）临床评价资料</w:t>
      </w:r>
    </w:p>
    <w:p w:rsidR="005D0947" w:rsidRDefault="00AE56B5">
      <w:pPr>
        <w:spacing w:line="520" w:lineRule="exact"/>
        <w:ind w:firstLineChars="200" w:firstLine="640"/>
        <w:rPr>
          <w:rFonts w:eastAsia="仿宋_GB2312"/>
          <w:color w:val="000000"/>
          <w:sz w:val="32"/>
          <w:szCs w:val="32"/>
        </w:rPr>
      </w:pPr>
      <w:r>
        <w:rPr>
          <w:rFonts w:eastAsia="仿宋_GB2312" w:hint="eastAsia"/>
          <w:color w:val="000000"/>
          <w:sz w:val="32"/>
          <w:szCs w:val="32"/>
        </w:rPr>
        <w:t>若该产品不在《免于进行临床评价医疗器械目录》的产品描述范围之内，或不能证明与已获准境内注册的产品具有基本等同性，应按《医疗器械临床评价技术指导原则》提交临床评价资料。</w:t>
      </w:r>
    </w:p>
    <w:p w:rsidR="005D0947" w:rsidRDefault="00AE56B5">
      <w:pPr>
        <w:spacing w:line="520" w:lineRule="exact"/>
        <w:ind w:firstLineChars="200" w:firstLine="640"/>
        <w:outlineLvl w:val="1"/>
        <w:rPr>
          <w:rFonts w:eastAsia="楷体_GB2312"/>
          <w:bCs/>
          <w:iCs/>
          <w:sz w:val="32"/>
          <w:szCs w:val="28"/>
        </w:rPr>
      </w:pPr>
      <w:r>
        <w:rPr>
          <w:rFonts w:eastAsia="楷体_GB2312" w:hint="eastAsia"/>
          <w:bCs/>
          <w:iCs/>
          <w:sz w:val="32"/>
          <w:szCs w:val="28"/>
        </w:rPr>
        <w:t>（六）产品说明书和标</w:t>
      </w:r>
      <w:r>
        <w:rPr>
          <w:rFonts w:eastAsia="楷体_GB2312" w:hint="eastAsia"/>
          <w:bCs/>
          <w:iCs/>
          <w:sz w:val="32"/>
          <w:szCs w:val="28"/>
        </w:rPr>
        <w:t>签样稿</w:t>
      </w:r>
    </w:p>
    <w:p w:rsidR="005D0947" w:rsidRDefault="00AE56B5">
      <w:pPr>
        <w:snapToGrid w:val="0"/>
        <w:spacing w:line="520" w:lineRule="exact"/>
        <w:ind w:firstLineChars="200" w:firstLine="640"/>
        <w:rPr>
          <w:rFonts w:eastAsia="仿宋_GB2312"/>
          <w:sz w:val="32"/>
          <w:szCs w:val="28"/>
        </w:rPr>
      </w:pPr>
      <w:r>
        <w:rPr>
          <w:rFonts w:eastAsia="仿宋_GB2312"/>
          <w:sz w:val="32"/>
          <w:szCs w:val="28"/>
        </w:rPr>
        <w:t>产品说明书和标签的内容应符合《医疗器械说明书和标签管理规定》、</w:t>
      </w:r>
      <w:r>
        <w:rPr>
          <w:rFonts w:eastAsia="仿宋_GB2312"/>
          <w:kern w:val="0"/>
          <w:sz w:val="32"/>
          <w:szCs w:val="28"/>
        </w:rPr>
        <w:t>YY/T 0171</w:t>
      </w:r>
      <w:r>
        <w:rPr>
          <w:rFonts w:eastAsia="仿宋_GB2312"/>
          <w:sz w:val="32"/>
          <w:szCs w:val="28"/>
        </w:rPr>
        <w:t>和</w:t>
      </w:r>
      <w:r>
        <w:rPr>
          <w:rFonts w:eastAsia="仿宋_GB2312"/>
          <w:sz w:val="32"/>
          <w:szCs w:val="28"/>
        </w:rPr>
        <w:t>YY/T 0466.1</w:t>
      </w:r>
      <w:r>
        <w:rPr>
          <w:rFonts w:eastAsia="仿宋_GB2312"/>
          <w:sz w:val="32"/>
          <w:szCs w:val="28"/>
        </w:rPr>
        <w:t>的要求。</w:t>
      </w:r>
    </w:p>
    <w:p w:rsidR="005D0947" w:rsidRDefault="00AE56B5">
      <w:pPr>
        <w:snapToGrid w:val="0"/>
        <w:spacing w:line="520" w:lineRule="exact"/>
        <w:ind w:firstLineChars="200" w:firstLine="640"/>
        <w:rPr>
          <w:rFonts w:eastAsia="仿宋_GB2312"/>
          <w:sz w:val="28"/>
          <w:szCs w:val="28"/>
        </w:rPr>
      </w:pPr>
      <w:r>
        <w:rPr>
          <w:rFonts w:eastAsia="仿宋_GB2312"/>
          <w:sz w:val="32"/>
          <w:szCs w:val="28"/>
        </w:rPr>
        <w:t>说明</w:t>
      </w:r>
      <w:r>
        <w:rPr>
          <w:rFonts w:eastAsia="仿宋_GB2312" w:hint="eastAsia"/>
          <w:sz w:val="32"/>
          <w:szCs w:val="28"/>
        </w:rPr>
        <w:t>书</w:t>
      </w:r>
      <w:r>
        <w:rPr>
          <w:rFonts w:eastAsia="仿宋_GB2312"/>
          <w:sz w:val="32"/>
          <w:szCs w:val="28"/>
        </w:rPr>
        <w:t>中应明确产品的性能结构及组成、适用范围、禁忌</w:t>
      </w:r>
      <w:r>
        <w:rPr>
          <w:rFonts w:eastAsia="仿宋_GB2312" w:hint="eastAsia"/>
          <w:sz w:val="32"/>
          <w:szCs w:val="28"/>
        </w:rPr>
        <w:t>证</w:t>
      </w:r>
      <w:r>
        <w:rPr>
          <w:rFonts w:eastAsia="仿宋_GB2312"/>
          <w:sz w:val="32"/>
          <w:szCs w:val="28"/>
        </w:rPr>
        <w:t>、注意事项、警示性及提示性说明。</w:t>
      </w:r>
    </w:p>
    <w:p w:rsidR="005D0947" w:rsidRDefault="00AE56B5">
      <w:pPr>
        <w:snapToGrid w:val="0"/>
        <w:spacing w:line="520" w:lineRule="exact"/>
        <w:ind w:firstLineChars="200" w:firstLine="640"/>
        <w:rPr>
          <w:rFonts w:eastAsia="仿宋_GB2312"/>
          <w:sz w:val="32"/>
          <w:szCs w:val="28"/>
        </w:rPr>
      </w:pPr>
      <w:r>
        <w:rPr>
          <w:rFonts w:eastAsia="仿宋_GB2312"/>
          <w:sz w:val="32"/>
          <w:szCs w:val="28"/>
        </w:rPr>
        <w:t>注意事项、警示性及提示性说明</w:t>
      </w:r>
      <w:r>
        <w:rPr>
          <w:rFonts w:eastAsia="仿宋_GB2312" w:hint="eastAsia"/>
          <w:sz w:val="32"/>
          <w:szCs w:val="28"/>
        </w:rPr>
        <w:t>的</w:t>
      </w:r>
      <w:r>
        <w:rPr>
          <w:rFonts w:eastAsia="仿宋_GB2312"/>
          <w:sz w:val="32"/>
          <w:szCs w:val="28"/>
        </w:rPr>
        <w:t>一般内容如下：</w:t>
      </w:r>
    </w:p>
    <w:p w:rsidR="005D0947" w:rsidRDefault="00AE56B5">
      <w:pPr>
        <w:snapToGrid w:val="0"/>
        <w:spacing w:line="520" w:lineRule="exact"/>
        <w:ind w:firstLineChars="200" w:firstLine="640"/>
        <w:rPr>
          <w:rFonts w:eastAsia="仿宋_GB2312"/>
          <w:sz w:val="32"/>
          <w:szCs w:val="28"/>
        </w:rPr>
      </w:pPr>
      <w:r>
        <w:rPr>
          <w:rFonts w:eastAsia="仿宋_GB2312" w:hint="eastAsia"/>
          <w:sz w:val="32"/>
          <w:szCs w:val="28"/>
        </w:rPr>
        <w:t>1.</w:t>
      </w:r>
      <w:r>
        <w:rPr>
          <w:rFonts w:eastAsia="仿宋_GB2312"/>
          <w:sz w:val="32"/>
          <w:szCs w:val="28"/>
        </w:rPr>
        <w:t>产品规格选择；</w:t>
      </w:r>
    </w:p>
    <w:p w:rsidR="005D0947" w:rsidRDefault="00AE56B5">
      <w:pPr>
        <w:snapToGrid w:val="0"/>
        <w:spacing w:line="520" w:lineRule="exact"/>
        <w:ind w:firstLineChars="200" w:firstLine="640"/>
        <w:rPr>
          <w:rFonts w:eastAsia="仿宋_GB2312"/>
          <w:sz w:val="32"/>
          <w:szCs w:val="28"/>
        </w:rPr>
      </w:pPr>
      <w:r>
        <w:rPr>
          <w:rFonts w:eastAsia="仿宋_GB2312" w:hint="eastAsia"/>
          <w:sz w:val="32"/>
          <w:szCs w:val="28"/>
        </w:rPr>
        <w:t>2.</w:t>
      </w:r>
      <w:r>
        <w:rPr>
          <w:rFonts w:eastAsia="仿宋_GB2312" w:hint="eastAsia"/>
          <w:sz w:val="32"/>
          <w:szCs w:val="28"/>
        </w:rPr>
        <w:t>关于产品容积的描述，包括其具体含义（</w:t>
      </w:r>
      <w:r>
        <w:rPr>
          <w:rFonts w:ascii="仿宋_GB2312" w:eastAsia="仿宋_GB2312" w:hint="eastAsia"/>
          <w:bCs/>
          <w:color w:val="000000"/>
          <w:sz w:val="32"/>
          <w:szCs w:val="32"/>
        </w:rPr>
        <w:t>未收紧袋口的容积或收紧袋口后的容积</w:t>
      </w:r>
      <w:r>
        <w:rPr>
          <w:rFonts w:eastAsia="仿宋_GB2312" w:hint="eastAsia"/>
          <w:sz w:val="32"/>
          <w:szCs w:val="28"/>
        </w:rPr>
        <w:t>）；</w:t>
      </w:r>
    </w:p>
    <w:p w:rsidR="005D0947" w:rsidRDefault="00AE56B5">
      <w:pPr>
        <w:snapToGrid w:val="0"/>
        <w:spacing w:line="520" w:lineRule="exact"/>
        <w:ind w:firstLineChars="200" w:firstLine="640"/>
        <w:rPr>
          <w:rFonts w:eastAsia="仿宋_GB2312"/>
          <w:sz w:val="32"/>
          <w:szCs w:val="28"/>
        </w:rPr>
      </w:pPr>
      <w:r>
        <w:rPr>
          <w:rFonts w:eastAsia="仿宋_GB2312" w:hint="eastAsia"/>
          <w:sz w:val="32"/>
          <w:szCs w:val="28"/>
        </w:rPr>
        <w:t>3.</w:t>
      </w:r>
      <w:r>
        <w:rPr>
          <w:rFonts w:eastAsia="仿宋_GB2312"/>
          <w:sz w:val="32"/>
          <w:szCs w:val="28"/>
        </w:rPr>
        <w:t>开启包装的注意事项；</w:t>
      </w:r>
    </w:p>
    <w:p w:rsidR="005D0947" w:rsidRDefault="00AE56B5">
      <w:pPr>
        <w:snapToGrid w:val="0"/>
        <w:spacing w:line="520" w:lineRule="exact"/>
        <w:ind w:firstLineChars="200" w:firstLine="640"/>
        <w:rPr>
          <w:rFonts w:eastAsia="仿宋_GB2312"/>
          <w:sz w:val="32"/>
          <w:szCs w:val="28"/>
        </w:rPr>
      </w:pPr>
      <w:r>
        <w:rPr>
          <w:rFonts w:eastAsia="仿宋_GB2312" w:hint="eastAsia"/>
          <w:sz w:val="32"/>
          <w:szCs w:val="28"/>
        </w:rPr>
        <w:t>4.</w:t>
      </w:r>
      <w:r>
        <w:rPr>
          <w:rFonts w:eastAsia="仿宋_GB2312" w:hint="eastAsia"/>
          <w:sz w:val="32"/>
          <w:szCs w:val="28"/>
        </w:rPr>
        <w:t>配合使用器械的要求；</w:t>
      </w:r>
    </w:p>
    <w:p w:rsidR="005D0947" w:rsidRDefault="00AE56B5">
      <w:pPr>
        <w:snapToGrid w:val="0"/>
        <w:spacing w:line="520" w:lineRule="exact"/>
        <w:ind w:firstLineChars="200" w:firstLine="640"/>
        <w:rPr>
          <w:rFonts w:eastAsia="仿宋_GB2312"/>
          <w:sz w:val="32"/>
          <w:szCs w:val="28"/>
        </w:rPr>
      </w:pPr>
      <w:r>
        <w:rPr>
          <w:rFonts w:eastAsia="仿宋_GB2312" w:hint="eastAsia"/>
          <w:sz w:val="32"/>
          <w:szCs w:val="28"/>
        </w:rPr>
        <w:t>5.</w:t>
      </w:r>
      <w:r>
        <w:rPr>
          <w:rFonts w:eastAsia="仿宋_GB2312"/>
          <w:sz w:val="32"/>
          <w:szCs w:val="28"/>
        </w:rPr>
        <w:t>使用中的注意事项</w:t>
      </w:r>
      <w:r>
        <w:rPr>
          <w:rFonts w:eastAsia="仿宋_GB2312" w:hint="eastAsia"/>
          <w:sz w:val="32"/>
          <w:szCs w:val="28"/>
        </w:rPr>
        <w:t>，如建议内窥镜观察下操作、取出时请勿暴力牵拉等</w:t>
      </w:r>
      <w:r>
        <w:rPr>
          <w:rFonts w:eastAsia="仿宋_GB2312"/>
          <w:sz w:val="32"/>
          <w:szCs w:val="28"/>
        </w:rPr>
        <w:t>；</w:t>
      </w:r>
    </w:p>
    <w:p w:rsidR="005D0947" w:rsidRDefault="00AE56B5">
      <w:pPr>
        <w:snapToGrid w:val="0"/>
        <w:spacing w:line="520" w:lineRule="exact"/>
        <w:ind w:firstLineChars="200" w:firstLine="640"/>
        <w:rPr>
          <w:rFonts w:eastAsia="仿宋_GB2312"/>
          <w:sz w:val="32"/>
          <w:szCs w:val="28"/>
        </w:rPr>
      </w:pPr>
      <w:r>
        <w:rPr>
          <w:rFonts w:eastAsia="仿宋_GB2312" w:hint="eastAsia"/>
          <w:sz w:val="32"/>
          <w:szCs w:val="28"/>
        </w:rPr>
        <w:t>6.</w:t>
      </w:r>
      <w:r>
        <w:rPr>
          <w:rFonts w:eastAsia="仿宋_GB2312"/>
          <w:sz w:val="32"/>
          <w:szCs w:val="28"/>
        </w:rPr>
        <w:t>使用后的注意事项</w:t>
      </w:r>
      <w:r>
        <w:rPr>
          <w:rFonts w:eastAsia="仿宋_GB2312" w:hint="eastAsia"/>
          <w:sz w:val="32"/>
          <w:szCs w:val="28"/>
        </w:rPr>
        <w:t>，如检查活检袋的完整性、</w:t>
      </w:r>
      <w:r>
        <w:rPr>
          <w:rFonts w:eastAsia="仿宋_GB2312"/>
          <w:sz w:val="32"/>
          <w:szCs w:val="28"/>
        </w:rPr>
        <w:t>产品用后</w:t>
      </w:r>
      <w:r>
        <w:rPr>
          <w:rFonts w:eastAsia="仿宋_GB2312"/>
          <w:sz w:val="32"/>
          <w:szCs w:val="28"/>
        </w:rPr>
        <w:lastRenderedPageBreak/>
        <w:t>处置等</w:t>
      </w:r>
      <w:r>
        <w:rPr>
          <w:rFonts w:eastAsia="仿宋_GB2312" w:hint="eastAsia"/>
          <w:sz w:val="32"/>
          <w:szCs w:val="28"/>
        </w:rPr>
        <w:t>；</w:t>
      </w:r>
    </w:p>
    <w:p w:rsidR="005D0947" w:rsidRDefault="00AE56B5">
      <w:pPr>
        <w:snapToGrid w:val="0"/>
        <w:spacing w:line="520" w:lineRule="exact"/>
        <w:ind w:firstLineChars="200" w:firstLine="640"/>
        <w:rPr>
          <w:rFonts w:eastAsia="仿宋_GB2312"/>
          <w:sz w:val="32"/>
          <w:szCs w:val="28"/>
        </w:rPr>
      </w:pPr>
      <w:r>
        <w:rPr>
          <w:rFonts w:eastAsia="仿宋_GB2312" w:hint="eastAsia"/>
          <w:sz w:val="32"/>
          <w:szCs w:val="28"/>
        </w:rPr>
        <w:t>7.</w:t>
      </w:r>
      <w:r>
        <w:rPr>
          <w:rFonts w:eastAsia="仿宋_GB2312"/>
          <w:sz w:val="32"/>
          <w:szCs w:val="28"/>
        </w:rPr>
        <w:t>依照使用方法操作</w:t>
      </w:r>
      <w:r>
        <w:rPr>
          <w:rFonts w:eastAsia="仿宋_GB2312" w:hint="eastAsia"/>
          <w:sz w:val="32"/>
          <w:szCs w:val="28"/>
        </w:rPr>
        <w:t>；</w:t>
      </w:r>
    </w:p>
    <w:p w:rsidR="005D0947" w:rsidRDefault="00AE56B5">
      <w:pPr>
        <w:snapToGrid w:val="0"/>
        <w:spacing w:line="520" w:lineRule="exact"/>
        <w:ind w:firstLineChars="200" w:firstLine="640"/>
        <w:rPr>
          <w:rFonts w:eastAsia="仿宋_GB2312"/>
          <w:sz w:val="32"/>
          <w:szCs w:val="28"/>
        </w:rPr>
      </w:pPr>
      <w:bookmarkStart w:id="13" w:name="OLE_LINK32"/>
      <w:r>
        <w:rPr>
          <w:rFonts w:eastAsia="仿宋_GB2312" w:hint="eastAsia"/>
          <w:sz w:val="32"/>
          <w:szCs w:val="28"/>
        </w:rPr>
        <w:t>8.</w:t>
      </w:r>
      <w:r>
        <w:rPr>
          <w:rFonts w:eastAsia="仿宋_GB2312"/>
          <w:sz w:val="32"/>
          <w:szCs w:val="28"/>
        </w:rPr>
        <w:t>产品为一次性使用医疗器械，不得重复使用；</w:t>
      </w:r>
    </w:p>
    <w:p w:rsidR="005D0947" w:rsidRDefault="00AE56B5">
      <w:pPr>
        <w:snapToGrid w:val="0"/>
        <w:spacing w:line="520" w:lineRule="exact"/>
        <w:ind w:firstLineChars="200" w:firstLine="640"/>
        <w:rPr>
          <w:rFonts w:eastAsia="仿宋_GB2312"/>
          <w:sz w:val="32"/>
          <w:szCs w:val="28"/>
        </w:rPr>
      </w:pPr>
      <w:r>
        <w:rPr>
          <w:rFonts w:eastAsia="仿宋_GB2312" w:hint="eastAsia"/>
          <w:sz w:val="32"/>
          <w:szCs w:val="28"/>
        </w:rPr>
        <w:t>9.</w:t>
      </w:r>
      <w:r>
        <w:rPr>
          <w:rFonts w:eastAsia="仿宋_GB2312"/>
          <w:sz w:val="32"/>
          <w:szCs w:val="28"/>
        </w:rPr>
        <w:t>灭菌内包装如有破损，严禁使用；</w:t>
      </w:r>
    </w:p>
    <w:p w:rsidR="005D0947" w:rsidRDefault="00AE56B5">
      <w:pPr>
        <w:snapToGrid w:val="0"/>
        <w:spacing w:line="520" w:lineRule="exact"/>
        <w:ind w:firstLineChars="200" w:firstLine="640"/>
        <w:rPr>
          <w:rFonts w:eastAsia="仿宋_GB2312"/>
          <w:sz w:val="32"/>
          <w:szCs w:val="28"/>
        </w:rPr>
      </w:pPr>
      <w:r>
        <w:rPr>
          <w:rFonts w:eastAsia="仿宋_GB2312" w:hint="eastAsia"/>
          <w:sz w:val="32"/>
          <w:szCs w:val="28"/>
        </w:rPr>
        <w:t>10.</w:t>
      </w:r>
      <w:r>
        <w:rPr>
          <w:rFonts w:eastAsia="仿宋_GB2312"/>
          <w:sz w:val="32"/>
          <w:szCs w:val="28"/>
        </w:rPr>
        <w:t>超过</w:t>
      </w:r>
      <w:r>
        <w:rPr>
          <w:rFonts w:eastAsia="仿宋_GB2312" w:hint="eastAsia"/>
          <w:sz w:val="32"/>
          <w:szCs w:val="28"/>
        </w:rPr>
        <w:t>使用期限</w:t>
      </w:r>
      <w:r>
        <w:rPr>
          <w:rFonts w:eastAsia="仿宋_GB2312"/>
          <w:sz w:val="32"/>
          <w:szCs w:val="28"/>
        </w:rPr>
        <w:t>的产品严禁使用</w:t>
      </w:r>
      <w:r>
        <w:rPr>
          <w:rFonts w:eastAsia="仿宋_GB2312" w:hint="eastAsia"/>
          <w:sz w:val="32"/>
          <w:szCs w:val="28"/>
        </w:rPr>
        <w:t>；</w:t>
      </w:r>
    </w:p>
    <w:p w:rsidR="005D0947" w:rsidRDefault="00AE56B5">
      <w:pPr>
        <w:snapToGrid w:val="0"/>
        <w:spacing w:line="520" w:lineRule="exact"/>
        <w:ind w:firstLineChars="200" w:firstLine="640"/>
        <w:rPr>
          <w:rFonts w:eastAsia="仿宋_GB2312"/>
          <w:sz w:val="32"/>
          <w:szCs w:val="28"/>
        </w:rPr>
      </w:pPr>
      <w:r>
        <w:rPr>
          <w:rFonts w:eastAsia="仿宋_GB2312" w:hint="eastAsia"/>
          <w:sz w:val="32"/>
          <w:szCs w:val="28"/>
        </w:rPr>
        <w:t>11.</w:t>
      </w:r>
      <w:r>
        <w:rPr>
          <w:rFonts w:eastAsia="仿宋_GB2312" w:hint="eastAsia"/>
          <w:sz w:val="32"/>
          <w:szCs w:val="28"/>
        </w:rPr>
        <w:t>提示用于坚硬组织和</w:t>
      </w:r>
      <w:r>
        <w:rPr>
          <w:rFonts w:eastAsia="仿宋_GB2312" w:hint="eastAsia"/>
          <w:sz w:val="32"/>
          <w:szCs w:val="28"/>
        </w:rPr>
        <w:t>/</w:t>
      </w:r>
      <w:r>
        <w:rPr>
          <w:rFonts w:eastAsia="仿宋_GB2312" w:hint="eastAsia"/>
          <w:sz w:val="32"/>
          <w:szCs w:val="28"/>
        </w:rPr>
        <w:t>或活检样本取出时的警示；</w:t>
      </w:r>
    </w:p>
    <w:p w:rsidR="005D0947" w:rsidRDefault="00AE56B5">
      <w:pPr>
        <w:snapToGrid w:val="0"/>
        <w:spacing w:line="520" w:lineRule="exact"/>
        <w:ind w:firstLineChars="200" w:firstLine="640"/>
        <w:rPr>
          <w:rFonts w:eastAsia="仿宋_GB2312"/>
          <w:sz w:val="32"/>
          <w:szCs w:val="28"/>
        </w:rPr>
      </w:pPr>
      <w:r>
        <w:rPr>
          <w:rFonts w:eastAsia="仿宋_GB2312" w:hint="eastAsia"/>
          <w:sz w:val="32"/>
          <w:szCs w:val="28"/>
        </w:rPr>
        <w:t>12.</w:t>
      </w:r>
      <w:r>
        <w:rPr>
          <w:rFonts w:eastAsia="仿宋_GB2312" w:hint="eastAsia"/>
          <w:sz w:val="32"/>
          <w:szCs w:val="28"/>
        </w:rPr>
        <w:t>提示配合尖锐器械使用时的警示。</w:t>
      </w:r>
    </w:p>
    <w:bookmarkEnd w:id="13"/>
    <w:p w:rsidR="005D0947" w:rsidRDefault="00AE56B5">
      <w:pPr>
        <w:spacing w:line="520" w:lineRule="exact"/>
        <w:ind w:firstLineChars="200" w:firstLine="640"/>
        <w:outlineLvl w:val="1"/>
        <w:rPr>
          <w:rFonts w:eastAsia="楷体_GB2312"/>
          <w:bCs/>
          <w:iCs/>
          <w:sz w:val="32"/>
          <w:szCs w:val="28"/>
        </w:rPr>
      </w:pPr>
      <w:r>
        <w:rPr>
          <w:rFonts w:eastAsia="楷体_GB2312" w:hint="eastAsia"/>
          <w:bCs/>
          <w:iCs/>
          <w:sz w:val="32"/>
          <w:szCs w:val="28"/>
        </w:rPr>
        <w:t>（七）质量管理体系文件</w:t>
      </w:r>
    </w:p>
    <w:p w:rsidR="005D0947" w:rsidRDefault="00AE56B5">
      <w:pPr>
        <w:spacing w:line="520" w:lineRule="exact"/>
        <w:ind w:firstLineChars="200" w:firstLine="640"/>
        <w:rPr>
          <w:rFonts w:eastAsia="仿宋_GB2312"/>
          <w:sz w:val="32"/>
          <w:szCs w:val="32"/>
        </w:rPr>
      </w:pPr>
      <w:r>
        <w:rPr>
          <w:rFonts w:eastAsia="仿宋_GB2312" w:hint="eastAsia"/>
          <w:sz w:val="32"/>
          <w:szCs w:val="32"/>
        </w:rPr>
        <w:t>质量管理体系文件应符合国家药品监督管理局《关于公布医疗器械注册申报资料要求和批准证明文件格式的公告》中对质量管理体系文件的要求。</w:t>
      </w:r>
    </w:p>
    <w:p w:rsidR="005D0947" w:rsidRDefault="00AE56B5">
      <w:pPr>
        <w:spacing w:line="520" w:lineRule="exact"/>
        <w:ind w:left="640" w:rightChars="-32" w:right="-67"/>
        <w:outlineLvl w:val="0"/>
        <w:rPr>
          <w:rFonts w:eastAsia="黑体"/>
          <w:sz w:val="32"/>
          <w:szCs w:val="32"/>
        </w:rPr>
      </w:pPr>
      <w:r>
        <w:rPr>
          <w:rFonts w:eastAsia="黑体" w:hint="eastAsia"/>
          <w:sz w:val="32"/>
          <w:szCs w:val="32"/>
        </w:rPr>
        <w:t>三、参考文献</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[1]</w:t>
      </w:r>
      <w:r>
        <w:rPr>
          <w:rFonts w:eastAsia="仿宋_GB2312"/>
          <w:sz w:val="32"/>
          <w:szCs w:val="32"/>
          <w:lang w:val="en"/>
        </w:rPr>
        <w:t>中华人民共和国国务院</w:t>
      </w:r>
      <w:r>
        <w:rPr>
          <w:rFonts w:eastAsia="仿宋_GB2312" w:hint="eastAsia"/>
          <w:sz w:val="32"/>
          <w:szCs w:val="32"/>
          <w:lang w:val="en"/>
        </w:rPr>
        <w:t>.</w:t>
      </w:r>
      <w:r>
        <w:rPr>
          <w:rFonts w:eastAsia="仿宋_GB2312"/>
          <w:sz w:val="32"/>
          <w:szCs w:val="32"/>
        </w:rPr>
        <w:t>医疗器械监督管理条例</w:t>
      </w:r>
      <w:r>
        <w:rPr>
          <w:rFonts w:eastAsia="仿宋_GB2312" w:hint="eastAsia"/>
          <w:sz w:val="32"/>
          <w:szCs w:val="32"/>
        </w:rPr>
        <w:t>:</w:t>
      </w:r>
      <w:r>
        <w:rPr>
          <w:rFonts w:eastAsia="仿宋_GB2312"/>
          <w:sz w:val="32"/>
          <w:szCs w:val="32"/>
          <w:lang w:val="en"/>
        </w:rPr>
        <w:t>中华人民共和国国务院令第</w:t>
      </w:r>
      <w:r>
        <w:rPr>
          <w:rFonts w:eastAsia="仿宋_GB2312"/>
          <w:sz w:val="32"/>
          <w:szCs w:val="32"/>
          <w:lang w:val="en"/>
        </w:rPr>
        <w:t>739</w:t>
      </w:r>
      <w:r>
        <w:rPr>
          <w:rFonts w:eastAsia="仿宋_GB2312"/>
          <w:sz w:val="32"/>
          <w:szCs w:val="32"/>
          <w:lang w:val="en"/>
        </w:rPr>
        <w:t>号</w:t>
      </w:r>
      <w:r>
        <w:rPr>
          <w:rFonts w:eastAsia="仿宋_GB2312"/>
          <w:sz w:val="32"/>
          <w:szCs w:val="32"/>
        </w:rPr>
        <w:t>[Z].</w:t>
      </w:r>
    </w:p>
    <w:p w:rsidR="005D0947" w:rsidRDefault="00AE56B5">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国家市场监督管理总局</w:t>
      </w:r>
      <w:r>
        <w:rPr>
          <w:rFonts w:eastAsia="仿宋_GB2312" w:hint="eastAsia"/>
          <w:sz w:val="32"/>
          <w:szCs w:val="32"/>
        </w:rPr>
        <w:t>.</w:t>
      </w:r>
      <w:r>
        <w:rPr>
          <w:rFonts w:eastAsia="仿宋_GB2312"/>
          <w:sz w:val="32"/>
          <w:szCs w:val="32"/>
        </w:rPr>
        <w:t>医疗器械注册与备案管理办法</w:t>
      </w:r>
      <w:r>
        <w:rPr>
          <w:rFonts w:eastAsia="仿宋_GB2312"/>
          <w:sz w:val="32"/>
          <w:szCs w:val="32"/>
        </w:rPr>
        <w:t>:</w:t>
      </w:r>
      <w:r>
        <w:rPr>
          <w:rFonts w:eastAsia="仿宋_GB2312"/>
          <w:sz w:val="32"/>
          <w:szCs w:val="32"/>
        </w:rPr>
        <w:t>国家市场监督管理总局令第</w:t>
      </w:r>
      <w:r>
        <w:rPr>
          <w:rFonts w:eastAsia="仿宋_GB2312"/>
          <w:sz w:val="32"/>
          <w:szCs w:val="32"/>
        </w:rPr>
        <w:t>47</w:t>
      </w:r>
      <w:r>
        <w:rPr>
          <w:rFonts w:eastAsia="仿宋_GB2312"/>
          <w:sz w:val="32"/>
          <w:szCs w:val="32"/>
        </w:rPr>
        <w:t>号</w:t>
      </w:r>
      <w:r>
        <w:rPr>
          <w:rFonts w:eastAsia="仿宋_GB2312"/>
          <w:sz w:val="32"/>
          <w:szCs w:val="32"/>
        </w:rPr>
        <w:t>[Z].</w:t>
      </w:r>
    </w:p>
    <w:p w:rsidR="005D0947" w:rsidRDefault="00AE56B5">
      <w:pPr>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hint="eastAsia"/>
          <w:sz w:val="32"/>
          <w:szCs w:val="32"/>
        </w:rPr>
        <w:t>医疗器械说明书和标签管理规定</w:t>
      </w:r>
      <w:r>
        <w:rPr>
          <w:rFonts w:eastAsia="仿宋_GB2312" w:hint="eastAsia"/>
          <w:sz w:val="32"/>
          <w:szCs w:val="32"/>
        </w:rPr>
        <w:t>:</w:t>
      </w:r>
      <w:bookmarkStart w:id="14" w:name="OLE_LINK40"/>
      <w:r>
        <w:rPr>
          <w:rFonts w:eastAsia="仿宋_GB2312" w:hint="eastAsia"/>
          <w:sz w:val="32"/>
          <w:szCs w:val="32"/>
        </w:rPr>
        <w:t>国家食品药品监督管理总局令第</w:t>
      </w:r>
      <w:r>
        <w:rPr>
          <w:rFonts w:eastAsia="仿宋_GB2312" w:hint="eastAsia"/>
          <w:sz w:val="32"/>
          <w:szCs w:val="32"/>
        </w:rPr>
        <w:t>6</w:t>
      </w:r>
      <w:r>
        <w:rPr>
          <w:rFonts w:eastAsia="仿宋_GB2312" w:hint="eastAsia"/>
          <w:sz w:val="32"/>
          <w:szCs w:val="32"/>
        </w:rPr>
        <w:t>号</w:t>
      </w:r>
      <w:r>
        <w:rPr>
          <w:rFonts w:eastAsia="仿宋_GB2312" w:hint="eastAsia"/>
          <w:sz w:val="32"/>
          <w:szCs w:val="32"/>
        </w:rPr>
        <w:t>[Z].</w:t>
      </w:r>
    </w:p>
    <w:bookmarkEnd w:id="14"/>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[4]</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医疗器械注册申报资料要求及说明</w:t>
      </w:r>
      <w:r>
        <w:rPr>
          <w:rFonts w:eastAsia="仿宋_GB2312" w:hint="eastAsia"/>
          <w:sz w:val="32"/>
          <w:szCs w:val="32"/>
        </w:rPr>
        <w:t>:</w:t>
      </w:r>
      <w:r>
        <w:rPr>
          <w:rFonts w:eastAsia="仿宋_GB2312" w:hint="eastAsia"/>
          <w:color w:val="000000"/>
          <w:sz w:val="32"/>
          <w:szCs w:val="32"/>
        </w:rPr>
        <w:t>国家药监局公告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121</w:t>
      </w:r>
      <w:r>
        <w:rPr>
          <w:rFonts w:eastAsia="仿宋_GB2312" w:hint="eastAsia"/>
          <w:color w:val="000000"/>
          <w:sz w:val="32"/>
          <w:szCs w:val="32"/>
        </w:rPr>
        <w:t>号</w:t>
      </w:r>
      <w:r>
        <w:rPr>
          <w:rFonts w:eastAsia="仿宋_GB2312"/>
          <w:sz w:val="32"/>
          <w:szCs w:val="32"/>
        </w:rPr>
        <w:t>[Z].</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[5]</w:t>
      </w:r>
      <w:r>
        <w:rPr>
          <w:rFonts w:eastAsia="仿宋_GB2312"/>
          <w:sz w:val="32"/>
          <w:szCs w:val="32"/>
          <w:lang w:val="en"/>
        </w:rPr>
        <w:t>国家食品药品监督管理</w:t>
      </w:r>
      <w:r>
        <w:rPr>
          <w:rFonts w:eastAsia="仿宋_GB2312" w:hint="eastAsia"/>
          <w:sz w:val="32"/>
          <w:szCs w:val="32"/>
          <w:lang w:val="en"/>
        </w:rPr>
        <w:t>总</w:t>
      </w:r>
      <w:r>
        <w:rPr>
          <w:rFonts w:eastAsia="仿宋_GB2312"/>
          <w:sz w:val="32"/>
          <w:szCs w:val="32"/>
          <w:lang w:val="en"/>
        </w:rPr>
        <w:t>局</w:t>
      </w:r>
      <w:r>
        <w:rPr>
          <w:rFonts w:eastAsia="仿宋_GB2312"/>
          <w:sz w:val="32"/>
          <w:szCs w:val="32"/>
        </w:rPr>
        <w:t>.</w:t>
      </w:r>
      <w:r>
        <w:rPr>
          <w:rFonts w:eastAsia="仿宋_GB2312"/>
          <w:sz w:val="32"/>
          <w:szCs w:val="32"/>
        </w:rPr>
        <w:t>医疗器械分类目录</w:t>
      </w:r>
      <w:r>
        <w:rPr>
          <w:rFonts w:eastAsia="仿宋_GB2312" w:hint="eastAsia"/>
          <w:sz w:val="32"/>
          <w:szCs w:val="32"/>
        </w:rPr>
        <w:t>:</w:t>
      </w:r>
      <w:r>
        <w:rPr>
          <w:rFonts w:eastAsia="仿宋_GB2312"/>
          <w:sz w:val="32"/>
          <w:szCs w:val="32"/>
          <w:lang w:val="en"/>
        </w:rPr>
        <w:t>国家食品药品监督管理总局</w:t>
      </w:r>
      <w:r>
        <w:rPr>
          <w:rFonts w:eastAsia="仿宋_GB2312" w:hint="eastAsia"/>
          <w:sz w:val="32"/>
          <w:szCs w:val="32"/>
          <w:lang w:val="en"/>
        </w:rPr>
        <w:t>公告</w:t>
      </w:r>
      <w:r>
        <w:rPr>
          <w:rFonts w:eastAsia="仿宋_GB2312"/>
          <w:sz w:val="32"/>
          <w:szCs w:val="32"/>
          <w:lang w:val="en"/>
        </w:rPr>
        <w:t>2017</w:t>
      </w:r>
      <w:r>
        <w:rPr>
          <w:rFonts w:eastAsia="仿宋_GB2312"/>
          <w:sz w:val="32"/>
          <w:szCs w:val="32"/>
          <w:lang w:val="en"/>
        </w:rPr>
        <w:t>年第</w:t>
      </w:r>
      <w:r>
        <w:rPr>
          <w:rFonts w:eastAsia="仿宋_GB2312"/>
          <w:sz w:val="32"/>
          <w:szCs w:val="32"/>
          <w:lang w:val="en"/>
        </w:rPr>
        <w:t>104</w:t>
      </w:r>
      <w:r>
        <w:rPr>
          <w:rFonts w:eastAsia="仿宋_GB2312"/>
          <w:sz w:val="32"/>
          <w:szCs w:val="32"/>
          <w:lang w:val="en"/>
        </w:rPr>
        <w:t>号</w:t>
      </w:r>
      <w:r>
        <w:rPr>
          <w:rFonts w:eastAsia="仿宋_GB2312"/>
          <w:sz w:val="32"/>
          <w:szCs w:val="32"/>
        </w:rPr>
        <w:t>[Z].</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[6]</w:t>
      </w:r>
      <w:r>
        <w:rPr>
          <w:rFonts w:eastAsia="仿宋_GB2312"/>
          <w:sz w:val="32"/>
          <w:szCs w:val="32"/>
          <w:lang w:val="en"/>
        </w:rPr>
        <w:t>国家食品药品监督管理</w:t>
      </w:r>
      <w:r>
        <w:rPr>
          <w:rFonts w:eastAsia="仿宋_GB2312" w:hint="eastAsia"/>
          <w:sz w:val="32"/>
          <w:szCs w:val="32"/>
          <w:lang w:val="en"/>
        </w:rPr>
        <w:t>总</w:t>
      </w:r>
      <w:r>
        <w:rPr>
          <w:rFonts w:eastAsia="仿宋_GB2312"/>
          <w:sz w:val="32"/>
          <w:szCs w:val="32"/>
          <w:lang w:val="en"/>
        </w:rPr>
        <w:t>局</w:t>
      </w:r>
      <w:r>
        <w:rPr>
          <w:rFonts w:eastAsia="仿宋_GB2312"/>
          <w:sz w:val="32"/>
          <w:szCs w:val="32"/>
        </w:rPr>
        <w:t>.</w:t>
      </w:r>
      <w:r>
        <w:rPr>
          <w:rFonts w:eastAsia="仿宋_GB2312"/>
          <w:sz w:val="32"/>
          <w:szCs w:val="32"/>
        </w:rPr>
        <w:t>医疗器械注册单元划分指导原则</w:t>
      </w:r>
      <w:r>
        <w:rPr>
          <w:rFonts w:eastAsia="仿宋_GB2312" w:hint="eastAsia"/>
          <w:sz w:val="32"/>
          <w:szCs w:val="32"/>
        </w:rPr>
        <w:t>:</w:t>
      </w:r>
      <w:r>
        <w:rPr>
          <w:rFonts w:eastAsia="仿宋_GB2312" w:hint="eastAsia"/>
          <w:sz w:val="32"/>
          <w:szCs w:val="32"/>
        </w:rPr>
        <w:t>总局通</w:t>
      </w:r>
      <w:r>
        <w:rPr>
          <w:rFonts w:eastAsia="仿宋_GB2312"/>
          <w:sz w:val="32"/>
          <w:szCs w:val="32"/>
          <w:lang w:val="en"/>
        </w:rPr>
        <w:t>告</w:t>
      </w:r>
      <w:r>
        <w:rPr>
          <w:rFonts w:eastAsia="仿宋_GB2312"/>
          <w:sz w:val="32"/>
          <w:szCs w:val="32"/>
          <w:lang w:val="en"/>
        </w:rPr>
        <w:t>2017</w:t>
      </w:r>
      <w:r>
        <w:rPr>
          <w:rFonts w:eastAsia="仿宋_GB2312"/>
          <w:sz w:val="32"/>
          <w:szCs w:val="32"/>
          <w:lang w:val="en"/>
        </w:rPr>
        <w:t>年第</w:t>
      </w:r>
      <w:r>
        <w:rPr>
          <w:rFonts w:eastAsia="仿宋_GB2312"/>
          <w:sz w:val="32"/>
          <w:szCs w:val="32"/>
          <w:lang w:val="en"/>
        </w:rPr>
        <w:t>187</w:t>
      </w:r>
      <w:r>
        <w:rPr>
          <w:rFonts w:eastAsia="仿宋_GB2312"/>
          <w:sz w:val="32"/>
          <w:szCs w:val="32"/>
          <w:lang w:val="en"/>
        </w:rPr>
        <w:t>号</w:t>
      </w:r>
      <w:r>
        <w:rPr>
          <w:rFonts w:eastAsia="仿宋_GB2312"/>
          <w:sz w:val="32"/>
          <w:szCs w:val="32"/>
        </w:rPr>
        <w:t>[Z].</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[7]</w:t>
      </w:r>
      <w:r>
        <w:rPr>
          <w:rFonts w:eastAsia="仿宋_GB2312"/>
          <w:sz w:val="32"/>
          <w:szCs w:val="28"/>
        </w:rPr>
        <w:t>国家食品药品监督管理</w:t>
      </w:r>
      <w:r>
        <w:rPr>
          <w:rFonts w:eastAsia="仿宋_GB2312" w:hint="eastAsia"/>
          <w:sz w:val="32"/>
          <w:szCs w:val="28"/>
        </w:rPr>
        <w:t>总</w:t>
      </w:r>
      <w:r>
        <w:rPr>
          <w:rFonts w:eastAsia="仿宋_GB2312"/>
          <w:sz w:val="32"/>
          <w:szCs w:val="28"/>
        </w:rPr>
        <w:t>局</w:t>
      </w:r>
      <w:r>
        <w:rPr>
          <w:rFonts w:eastAsia="仿宋_GB2312" w:hint="eastAsia"/>
          <w:sz w:val="32"/>
          <w:szCs w:val="32"/>
        </w:rPr>
        <w:t>.</w:t>
      </w:r>
      <w:r>
        <w:rPr>
          <w:rFonts w:eastAsia="仿宋_GB2312"/>
          <w:sz w:val="32"/>
          <w:szCs w:val="32"/>
        </w:rPr>
        <w:t>医疗器械通用名称命名规</w:t>
      </w:r>
      <w:r>
        <w:rPr>
          <w:rFonts w:eastAsia="仿宋_GB2312"/>
          <w:sz w:val="32"/>
          <w:szCs w:val="32"/>
        </w:rPr>
        <w:lastRenderedPageBreak/>
        <w:t>则</w:t>
      </w:r>
      <w:r>
        <w:rPr>
          <w:rFonts w:eastAsia="仿宋_GB2312" w:hint="eastAsia"/>
          <w:sz w:val="32"/>
          <w:szCs w:val="32"/>
        </w:rPr>
        <w:t>:</w:t>
      </w:r>
      <w:r>
        <w:rPr>
          <w:rFonts w:eastAsia="仿宋_GB2312"/>
          <w:sz w:val="32"/>
          <w:szCs w:val="28"/>
        </w:rPr>
        <w:t>国家食品药品监督管理总局令第</w:t>
      </w:r>
      <w:r>
        <w:rPr>
          <w:rFonts w:eastAsia="仿宋_GB2312"/>
          <w:sz w:val="32"/>
          <w:szCs w:val="28"/>
        </w:rPr>
        <w:t>19</w:t>
      </w:r>
      <w:r>
        <w:rPr>
          <w:rFonts w:eastAsia="仿宋_GB2312"/>
          <w:sz w:val="32"/>
          <w:szCs w:val="28"/>
        </w:rPr>
        <w:t>号</w:t>
      </w:r>
      <w:r>
        <w:rPr>
          <w:rFonts w:eastAsia="仿宋_GB2312"/>
          <w:sz w:val="32"/>
          <w:szCs w:val="32"/>
        </w:rPr>
        <w:t>[Z].</w:t>
      </w:r>
    </w:p>
    <w:p w:rsidR="005D0947" w:rsidRDefault="00AE56B5">
      <w:pPr>
        <w:spacing w:line="520" w:lineRule="exact"/>
        <w:ind w:firstLineChars="200" w:firstLine="640"/>
        <w:rPr>
          <w:rFonts w:eastAsia="仿宋_GB2312"/>
          <w:sz w:val="32"/>
          <w:szCs w:val="32"/>
        </w:rPr>
      </w:pPr>
      <w:r>
        <w:rPr>
          <w:rFonts w:eastAsia="仿宋_GB2312" w:hint="eastAsia"/>
          <w:sz w:val="32"/>
          <w:szCs w:val="32"/>
        </w:rPr>
        <w:t>[8]</w:t>
      </w:r>
      <w:r>
        <w:rPr>
          <w:rFonts w:eastAsia="仿宋_GB2312" w:hint="eastAsia"/>
          <w:sz w:val="32"/>
          <w:szCs w:val="32"/>
        </w:rPr>
        <w:t>国家药品监督管理局</w:t>
      </w:r>
      <w:r>
        <w:rPr>
          <w:rFonts w:eastAsia="仿宋_GB2312" w:hint="eastAsia"/>
          <w:sz w:val="32"/>
          <w:szCs w:val="32"/>
        </w:rPr>
        <w:t>.</w:t>
      </w:r>
      <w:bookmarkStart w:id="15" w:name="OLE_LINK39"/>
      <w:r>
        <w:rPr>
          <w:rFonts w:eastAsia="仿宋_GB2312"/>
          <w:sz w:val="32"/>
          <w:szCs w:val="32"/>
        </w:rPr>
        <w:t>免于</w:t>
      </w:r>
      <w:r>
        <w:rPr>
          <w:rFonts w:eastAsia="仿宋_GB2312" w:hint="eastAsia"/>
          <w:sz w:val="32"/>
          <w:szCs w:val="32"/>
        </w:rPr>
        <w:t>进行</w:t>
      </w:r>
      <w:r>
        <w:rPr>
          <w:rFonts w:eastAsia="仿宋_GB2312"/>
          <w:sz w:val="32"/>
          <w:szCs w:val="32"/>
        </w:rPr>
        <w:t>临床评价医疗器械目录</w:t>
      </w:r>
      <w:bookmarkEnd w:id="15"/>
      <w:r>
        <w:rPr>
          <w:rFonts w:eastAsia="仿宋_GB2312" w:hint="eastAsia"/>
          <w:sz w:val="32"/>
          <w:szCs w:val="32"/>
        </w:rPr>
        <w:t>:</w:t>
      </w:r>
      <w:r>
        <w:rPr>
          <w:rFonts w:eastAsia="仿宋_GB2312"/>
          <w:sz w:val="32"/>
          <w:szCs w:val="32"/>
          <w:lang w:val="en"/>
        </w:rPr>
        <w:t>国家</w:t>
      </w:r>
      <w:r>
        <w:rPr>
          <w:rFonts w:eastAsia="仿宋_GB2312" w:hint="eastAsia"/>
          <w:sz w:val="32"/>
          <w:szCs w:val="32"/>
          <w:lang w:val="en"/>
        </w:rPr>
        <w:t>药监</w:t>
      </w:r>
      <w:r>
        <w:rPr>
          <w:rFonts w:eastAsia="仿宋_GB2312"/>
          <w:sz w:val="32"/>
          <w:szCs w:val="32"/>
          <w:lang w:val="en"/>
        </w:rPr>
        <w:t>局</w:t>
      </w:r>
      <w:r>
        <w:rPr>
          <w:rFonts w:eastAsia="仿宋_GB2312" w:hint="eastAsia"/>
          <w:sz w:val="32"/>
          <w:szCs w:val="32"/>
          <w:lang w:val="en"/>
        </w:rPr>
        <w:t>通告</w:t>
      </w:r>
      <w:r>
        <w:rPr>
          <w:rFonts w:eastAsia="仿宋_GB2312"/>
          <w:sz w:val="32"/>
          <w:szCs w:val="32"/>
          <w:lang w:val="en"/>
        </w:rPr>
        <w:t>20</w:t>
      </w:r>
      <w:r>
        <w:rPr>
          <w:rFonts w:eastAsia="仿宋_GB2312" w:hint="eastAsia"/>
          <w:sz w:val="32"/>
          <w:szCs w:val="32"/>
          <w:lang w:val="en"/>
        </w:rPr>
        <w:t>25</w:t>
      </w:r>
      <w:r>
        <w:rPr>
          <w:rFonts w:eastAsia="仿宋_GB2312"/>
          <w:sz w:val="32"/>
          <w:szCs w:val="32"/>
          <w:lang w:val="en"/>
        </w:rPr>
        <w:t>年第</w:t>
      </w:r>
      <w:r>
        <w:rPr>
          <w:rFonts w:eastAsia="仿宋_GB2312" w:hint="eastAsia"/>
          <w:sz w:val="32"/>
          <w:szCs w:val="32"/>
          <w:lang w:val="en"/>
        </w:rPr>
        <w:t>19</w:t>
      </w:r>
      <w:r>
        <w:rPr>
          <w:rFonts w:eastAsia="仿宋_GB2312"/>
          <w:sz w:val="32"/>
          <w:szCs w:val="32"/>
          <w:lang w:val="en"/>
        </w:rPr>
        <w:t>号</w:t>
      </w:r>
      <w:r>
        <w:rPr>
          <w:rFonts w:eastAsia="仿宋_GB2312"/>
          <w:sz w:val="32"/>
          <w:szCs w:val="32"/>
        </w:rPr>
        <w:t>[Z].</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[9]</w:t>
      </w:r>
      <w:r>
        <w:rPr>
          <w:rFonts w:eastAsia="仿宋_GB2312" w:hint="eastAsia"/>
          <w:sz w:val="32"/>
          <w:szCs w:val="32"/>
        </w:rPr>
        <w:t>国家药品监督管理局</w:t>
      </w:r>
      <w:r>
        <w:rPr>
          <w:rFonts w:eastAsia="仿宋_GB2312" w:hint="eastAsia"/>
          <w:sz w:val="32"/>
          <w:szCs w:val="32"/>
        </w:rPr>
        <w:t>.</w:t>
      </w:r>
      <w:r>
        <w:rPr>
          <w:rFonts w:eastAsia="仿宋_GB2312"/>
          <w:sz w:val="32"/>
          <w:szCs w:val="32"/>
        </w:rPr>
        <w:t>医疗器械产品技术要求编写指导原则</w:t>
      </w:r>
      <w:r>
        <w:rPr>
          <w:rFonts w:eastAsia="仿宋_GB2312" w:hint="eastAsia"/>
          <w:sz w:val="32"/>
          <w:szCs w:val="32"/>
        </w:rPr>
        <w:t>:</w:t>
      </w:r>
      <w:r>
        <w:rPr>
          <w:rFonts w:eastAsia="仿宋_GB2312" w:hint="eastAsia"/>
          <w:sz w:val="32"/>
          <w:szCs w:val="32"/>
        </w:rPr>
        <w:t>国家药监局公告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8</w:t>
      </w:r>
      <w:r>
        <w:rPr>
          <w:rFonts w:eastAsia="仿宋_GB2312" w:hint="eastAsia"/>
          <w:sz w:val="32"/>
          <w:szCs w:val="32"/>
        </w:rPr>
        <w:t>号</w:t>
      </w:r>
      <w:r>
        <w:rPr>
          <w:rFonts w:eastAsia="仿宋_GB2312"/>
          <w:sz w:val="32"/>
          <w:szCs w:val="32"/>
        </w:rPr>
        <w:t>[Z]</w:t>
      </w:r>
      <w:r>
        <w:rPr>
          <w:rFonts w:eastAsia="仿宋_GB2312" w:hint="eastAsia"/>
          <w:sz w:val="32"/>
          <w:szCs w:val="32"/>
        </w:rPr>
        <w:t>.</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[10]</w:t>
      </w:r>
      <w:r>
        <w:rPr>
          <w:rFonts w:eastAsia="仿宋_GB2312" w:hint="eastAsia"/>
          <w:sz w:val="32"/>
          <w:szCs w:val="32"/>
        </w:rPr>
        <w:t>国家药品监督管理局</w:t>
      </w:r>
      <w:r>
        <w:rPr>
          <w:rFonts w:eastAsia="仿宋_GB2312" w:hint="eastAsia"/>
          <w:sz w:val="32"/>
          <w:szCs w:val="32"/>
        </w:rPr>
        <w:t>.</w:t>
      </w:r>
      <w:r>
        <w:rPr>
          <w:rFonts w:eastAsia="仿宋_GB2312" w:hint="eastAsia"/>
          <w:bCs/>
          <w:color w:val="000000"/>
          <w:sz w:val="32"/>
          <w:szCs w:val="32"/>
        </w:rPr>
        <w:t>医用成像器械通用名称命名指导原则</w:t>
      </w:r>
      <w:r>
        <w:rPr>
          <w:rFonts w:eastAsia="仿宋_GB2312" w:hint="eastAsia"/>
          <w:bCs/>
          <w:color w:val="000000"/>
          <w:sz w:val="32"/>
          <w:szCs w:val="32"/>
        </w:rPr>
        <w:t>:</w:t>
      </w:r>
      <w:r>
        <w:rPr>
          <w:rFonts w:eastAsia="仿宋_GB2312" w:hint="eastAsia"/>
          <w:bCs/>
          <w:color w:val="000000"/>
          <w:sz w:val="32"/>
          <w:szCs w:val="32"/>
        </w:rPr>
        <w:t>国家药监局通告</w:t>
      </w:r>
      <w:r>
        <w:rPr>
          <w:rFonts w:eastAsia="仿宋_GB2312" w:hint="eastAsia"/>
          <w:bCs/>
          <w:color w:val="000000"/>
          <w:sz w:val="32"/>
          <w:szCs w:val="32"/>
        </w:rPr>
        <w:t>2020</w:t>
      </w:r>
      <w:r>
        <w:rPr>
          <w:rFonts w:eastAsia="仿宋_GB2312" w:hint="eastAsia"/>
          <w:bCs/>
          <w:color w:val="000000"/>
          <w:sz w:val="32"/>
          <w:szCs w:val="32"/>
        </w:rPr>
        <w:t>年第</w:t>
      </w:r>
      <w:r>
        <w:rPr>
          <w:rFonts w:eastAsia="仿宋_GB2312" w:hint="eastAsia"/>
          <w:bCs/>
          <w:color w:val="000000"/>
          <w:sz w:val="32"/>
          <w:szCs w:val="32"/>
        </w:rPr>
        <w:t>41</w:t>
      </w:r>
      <w:r>
        <w:rPr>
          <w:rFonts w:eastAsia="仿宋_GB2312" w:hint="eastAsia"/>
          <w:bCs/>
          <w:color w:val="000000"/>
          <w:sz w:val="32"/>
          <w:szCs w:val="32"/>
        </w:rPr>
        <w:t>号</w:t>
      </w:r>
      <w:r>
        <w:rPr>
          <w:rFonts w:eastAsia="仿宋_GB2312"/>
          <w:sz w:val="32"/>
          <w:szCs w:val="32"/>
        </w:rPr>
        <w:t>[Z].</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[11]</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医疗器械生物学评价和审查指南</w:t>
      </w:r>
      <w:r>
        <w:rPr>
          <w:rFonts w:eastAsia="仿宋_GB2312" w:hint="eastAsia"/>
          <w:sz w:val="32"/>
          <w:szCs w:val="32"/>
        </w:rPr>
        <w:t>:</w:t>
      </w:r>
      <w:r>
        <w:rPr>
          <w:rFonts w:eastAsia="仿宋_GB2312" w:hint="eastAsia"/>
          <w:sz w:val="32"/>
          <w:szCs w:val="32"/>
        </w:rPr>
        <w:t>国家食品药品监督管理局通知</w:t>
      </w:r>
      <w:r>
        <w:rPr>
          <w:rFonts w:eastAsia="仿宋_GB2312"/>
          <w:sz w:val="32"/>
          <w:szCs w:val="32"/>
          <w:lang w:val="en"/>
        </w:rPr>
        <w:t>20</w:t>
      </w:r>
      <w:r>
        <w:rPr>
          <w:rFonts w:eastAsia="仿宋_GB2312" w:hint="eastAsia"/>
          <w:sz w:val="32"/>
          <w:szCs w:val="32"/>
          <w:lang w:val="en"/>
        </w:rPr>
        <w:t>0</w:t>
      </w:r>
      <w:r>
        <w:rPr>
          <w:rFonts w:eastAsia="仿宋_GB2312"/>
          <w:sz w:val="32"/>
          <w:szCs w:val="32"/>
          <w:lang w:val="en"/>
        </w:rPr>
        <w:t>7</w:t>
      </w:r>
      <w:r>
        <w:rPr>
          <w:rFonts w:eastAsia="仿宋_GB2312"/>
          <w:sz w:val="32"/>
          <w:szCs w:val="32"/>
          <w:lang w:val="en"/>
        </w:rPr>
        <w:t>年</w:t>
      </w:r>
      <w:r>
        <w:rPr>
          <w:rFonts w:eastAsia="仿宋_GB2312" w:hint="eastAsia"/>
          <w:sz w:val="32"/>
          <w:szCs w:val="32"/>
          <w:lang w:val="en"/>
        </w:rPr>
        <w:t>345</w:t>
      </w:r>
      <w:r>
        <w:rPr>
          <w:rFonts w:eastAsia="仿宋_GB2312"/>
          <w:sz w:val="32"/>
          <w:szCs w:val="32"/>
          <w:lang w:val="en"/>
        </w:rPr>
        <w:t>号</w:t>
      </w:r>
      <w:r>
        <w:rPr>
          <w:rFonts w:eastAsia="仿宋_GB2312"/>
          <w:sz w:val="32"/>
          <w:szCs w:val="32"/>
        </w:rPr>
        <w:t>[Z].</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[12]GB 18279.1,</w:t>
      </w:r>
      <w:r>
        <w:rPr>
          <w:rFonts w:eastAsia="仿宋_GB2312" w:hint="eastAsia"/>
          <w:sz w:val="32"/>
          <w:szCs w:val="32"/>
        </w:rPr>
        <w:t>保健产品灭菌环氧乙烷</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 xml:space="preserve">1 </w:t>
      </w:r>
      <w:r>
        <w:rPr>
          <w:rFonts w:eastAsia="仿宋_GB2312" w:hint="eastAsia"/>
          <w:sz w:val="32"/>
          <w:szCs w:val="32"/>
        </w:rPr>
        <w:t>部分：医疗器械灭菌过程的开发、确认和常规控制的要求</w:t>
      </w:r>
      <w:r>
        <w:rPr>
          <w:rFonts w:eastAsia="仿宋_GB2312" w:hint="eastAsia"/>
          <w:sz w:val="32"/>
          <w:szCs w:val="32"/>
        </w:rPr>
        <w:t>[S].</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[13]GB 18280,</w:t>
      </w:r>
      <w:r>
        <w:rPr>
          <w:rFonts w:eastAsia="仿宋_GB2312" w:hint="eastAsia"/>
          <w:sz w:val="32"/>
          <w:szCs w:val="32"/>
        </w:rPr>
        <w:t>医疗保健产品灭菌</w:t>
      </w:r>
      <w:r>
        <w:rPr>
          <w:rFonts w:eastAsia="仿宋_GB2312" w:hint="eastAsia"/>
          <w:sz w:val="32"/>
          <w:szCs w:val="32"/>
        </w:rPr>
        <w:t xml:space="preserve"> </w:t>
      </w:r>
      <w:r>
        <w:rPr>
          <w:rFonts w:eastAsia="仿宋_GB2312" w:hint="eastAsia"/>
          <w:sz w:val="32"/>
          <w:szCs w:val="32"/>
        </w:rPr>
        <w:t>辐射</w:t>
      </w:r>
      <w:r>
        <w:rPr>
          <w:rFonts w:eastAsia="仿宋_GB2312" w:hint="eastAsia"/>
          <w:sz w:val="32"/>
          <w:szCs w:val="32"/>
        </w:rPr>
        <w:t xml:space="preserve"> </w:t>
      </w:r>
      <w:r>
        <w:rPr>
          <w:rFonts w:eastAsia="仿宋_GB2312" w:hint="eastAsia"/>
          <w:sz w:val="32"/>
          <w:szCs w:val="32"/>
        </w:rPr>
        <w:t>系列标准</w:t>
      </w:r>
      <w:r>
        <w:rPr>
          <w:rFonts w:eastAsia="仿宋_GB2312" w:hint="eastAsia"/>
          <w:sz w:val="32"/>
          <w:szCs w:val="32"/>
        </w:rPr>
        <w:t>[S].</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[14]</w:t>
      </w:r>
      <w:r>
        <w:rPr>
          <w:rFonts w:eastAsia="仿宋_GB2312"/>
          <w:sz w:val="32"/>
          <w:szCs w:val="32"/>
        </w:rPr>
        <w:t>GB/T 4857</w:t>
      </w:r>
      <w:r>
        <w:rPr>
          <w:rFonts w:eastAsia="仿宋_GB2312" w:hint="eastAsia"/>
          <w:sz w:val="32"/>
          <w:szCs w:val="32"/>
        </w:rPr>
        <w:t>,</w:t>
      </w:r>
      <w:bookmarkStart w:id="16" w:name="OLE_LINK38"/>
      <w:r>
        <w:rPr>
          <w:rFonts w:eastAsia="仿宋_GB2312"/>
          <w:sz w:val="32"/>
          <w:szCs w:val="32"/>
        </w:rPr>
        <w:t>包装</w:t>
      </w:r>
      <w:r>
        <w:rPr>
          <w:rFonts w:eastAsia="仿宋_GB2312"/>
          <w:sz w:val="32"/>
          <w:szCs w:val="32"/>
        </w:rPr>
        <w:t xml:space="preserve"> </w:t>
      </w:r>
      <w:r>
        <w:rPr>
          <w:rFonts w:eastAsia="仿宋_GB2312"/>
          <w:sz w:val="32"/>
          <w:szCs w:val="32"/>
        </w:rPr>
        <w:t>运输包装件基本试验</w:t>
      </w:r>
      <w:r>
        <w:rPr>
          <w:rFonts w:eastAsia="仿宋_GB2312" w:hint="eastAsia"/>
          <w:sz w:val="32"/>
          <w:szCs w:val="32"/>
        </w:rPr>
        <w:t xml:space="preserve"> </w:t>
      </w:r>
      <w:r>
        <w:rPr>
          <w:rFonts w:eastAsia="仿宋_GB2312" w:hint="eastAsia"/>
          <w:sz w:val="32"/>
          <w:szCs w:val="32"/>
        </w:rPr>
        <w:t>系列标准</w:t>
      </w:r>
      <w:r>
        <w:rPr>
          <w:rFonts w:eastAsia="仿宋_GB2312" w:hint="eastAsia"/>
          <w:sz w:val="32"/>
          <w:szCs w:val="32"/>
        </w:rPr>
        <w:t>[S].</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[15]GB/T 19633,</w:t>
      </w:r>
      <w:r>
        <w:rPr>
          <w:rFonts w:eastAsia="仿宋_GB2312" w:hint="eastAsia"/>
          <w:sz w:val="32"/>
          <w:szCs w:val="32"/>
        </w:rPr>
        <w:t>最终灭菌医</w:t>
      </w:r>
      <w:bookmarkEnd w:id="16"/>
      <w:r>
        <w:rPr>
          <w:rFonts w:eastAsia="仿宋_GB2312" w:hint="eastAsia"/>
          <w:sz w:val="32"/>
          <w:szCs w:val="32"/>
        </w:rPr>
        <w:t>疗器械包装</w:t>
      </w:r>
      <w:r>
        <w:rPr>
          <w:rFonts w:eastAsia="仿宋_GB2312" w:hint="eastAsia"/>
          <w:sz w:val="32"/>
          <w:szCs w:val="32"/>
        </w:rPr>
        <w:t xml:space="preserve"> </w:t>
      </w:r>
      <w:r>
        <w:rPr>
          <w:rFonts w:eastAsia="仿宋_GB2312" w:hint="eastAsia"/>
          <w:sz w:val="32"/>
          <w:szCs w:val="32"/>
        </w:rPr>
        <w:t>系列标准</w:t>
      </w:r>
      <w:r>
        <w:rPr>
          <w:rFonts w:eastAsia="仿宋_GB2312" w:hint="eastAsia"/>
          <w:sz w:val="32"/>
          <w:szCs w:val="32"/>
        </w:rPr>
        <w:t>[S].</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[16]GB/T 16886,</w:t>
      </w:r>
      <w:r>
        <w:rPr>
          <w:rFonts w:eastAsia="仿宋_GB2312" w:hint="eastAsia"/>
          <w:sz w:val="32"/>
          <w:szCs w:val="32"/>
        </w:rPr>
        <w:t>医疗器械生物学评价</w:t>
      </w:r>
      <w:r>
        <w:rPr>
          <w:rFonts w:eastAsia="仿宋_GB2312" w:hint="eastAsia"/>
          <w:sz w:val="32"/>
          <w:szCs w:val="32"/>
        </w:rPr>
        <w:t xml:space="preserve"> </w:t>
      </w:r>
      <w:r>
        <w:rPr>
          <w:rFonts w:eastAsia="仿宋_GB2312" w:hint="eastAsia"/>
          <w:sz w:val="32"/>
          <w:szCs w:val="32"/>
        </w:rPr>
        <w:t>系列标准</w:t>
      </w:r>
      <w:r>
        <w:rPr>
          <w:rFonts w:eastAsia="仿宋_GB2312" w:hint="eastAsia"/>
          <w:sz w:val="32"/>
          <w:szCs w:val="32"/>
        </w:rPr>
        <w:t>[S].</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[17]GB/T 42062,</w:t>
      </w:r>
      <w:bookmarkStart w:id="17" w:name="OLE_LINK37"/>
      <w:bookmarkStart w:id="18" w:name="OLE_LINK36"/>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风险管理对医疗器械的应用</w:t>
      </w:r>
      <w:r>
        <w:rPr>
          <w:rFonts w:eastAsia="仿宋_GB2312" w:hint="eastAsia"/>
          <w:sz w:val="32"/>
          <w:szCs w:val="32"/>
        </w:rPr>
        <w:t>[S].</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[18]YY/T 0171,</w:t>
      </w:r>
      <w:r>
        <w:rPr>
          <w:rFonts w:eastAsia="仿宋_GB2312" w:hint="eastAsia"/>
          <w:sz w:val="32"/>
          <w:szCs w:val="32"/>
        </w:rPr>
        <w:t>外科器械</w:t>
      </w:r>
      <w:r>
        <w:rPr>
          <w:rFonts w:eastAsia="仿宋_GB2312" w:hint="eastAsia"/>
          <w:sz w:val="32"/>
          <w:szCs w:val="32"/>
        </w:rPr>
        <w:t xml:space="preserve"> </w:t>
      </w:r>
      <w:r>
        <w:rPr>
          <w:rFonts w:eastAsia="仿宋_GB2312" w:hint="eastAsia"/>
          <w:sz w:val="32"/>
          <w:szCs w:val="32"/>
        </w:rPr>
        <w:t>包装、</w:t>
      </w:r>
      <w:bookmarkEnd w:id="17"/>
      <w:bookmarkEnd w:id="18"/>
      <w:r>
        <w:rPr>
          <w:rFonts w:eastAsia="仿宋_GB2312" w:hint="eastAsia"/>
          <w:sz w:val="32"/>
          <w:szCs w:val="32"/>
        </w:rPr>
        <w:t>标志和使用说明书</w:t>
      </w:r>
      <w:r>
        <w:rPr>
          <w:rFonts w:eastAsia="仿宋_GB2312" w:hint="eastAsia"/>
          <w:sz w:val="32"/>
          <w:szCs w:val="32"/>
        </w:rPr>
        <w:t>[S].</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[19]YY/T</w:t>
      </w:r>
      <w:bookmarkStart w:id="19" w:name="OLE_LINK35"/>
      <w:r>
        <w:rPr>
          <w:rFonts w:eastAsia="仿宋_GB2312" w:hint="eastAsia"/>
          <w:sz w:val="32"/>
          <w:szCs w:val="32"/>
        </w:rPr>
        <w:t xml:space="preserve"> 0466.1</w:t>
      </w:r>
      <w:bookmarkEnd w:id="19"/>
      <w:r>
        <w:rPr>
          <w:rFonts w:eastAsia="仿宋_GB2312" w:hint="eastAsia"/>
          <w:sz w:val="32"/>
          <w:szCs w:val="32"/>
        </w:rPr>
        <w:t>,</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用于制造商提供信息的符号</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部分：通用要求</w:t>
      </w:r>
      <w:r>
        <w:rPr>
          <w:rFonts w:eastAsia="仿宋_GB2312" w:hint="eastAsia"/>
          <w:sz w:val="32"/>
          <w:szCs w:val="32"/>
        </w:rPr>
        <w:t>[S].</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[20]YY/T 0681.1,</w:t>
      </w:r>
      <w:r>
        <w:rPr>
          <w:rFonts w:eastAsia="仿宋_GB2312" w:hint="eastAsia"/>
          <w:sz w:val="32"/>
          <w:szCs w:val="32"/>
        </w:rPr>
        <w:t>无菌医疗器械包装试验方法</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部分：加</w:t>
      </w:r>
      <w:bookmarkStart w:id="20" w:name="OLE_LINK33"/>
      <w:bookmarkStart w:id="21" w:name="OLE_LINK34"/>
      <w:r>
        <w:rPr>
          <w:rFonts w:eastAsia="仿宋_GB2312" w:hint="eastAsia"/>
          <w:sz w:val="32"/>
          <w:szCs w:val="32"/>
        </w:rPr>
        <w:t>速老化试验指南</w:t>
      </w:r>
      <w:r>
        <w:rPr>
          <w:rFonts w:eastAsia="仿宋_GB2312" w:hint="eastAsia"/>
          <w:sz w:val="32"/>
          <w:szCs w:val="32"/>
        </w:rPr>
        <w:t>[S].</w:t>
      </w:r>
    </w:p>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[21]YY/T 0681.15,</w:t>
      </w:r>
      <w:r>
        <w:rPr>
          <w:rFonts w:hint="eastAsia"/>
        </w:rPr>
        <w:t xml:space="preserve"> </w:t>
      </w:r>
      <w:r>
        <w:rPr>
          <w:rFonts w:eastAsia="仿宋_GB2312" w:hint="eastAsia"/>
          <w:sz w:val="32"/>
          <w:szCs w:val="32"/>
        </w:rPr>
        <w:t>无菌医疗器械包装试验方法</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15</w:t>
      </w:r>
      <w:r>
        <w:rPr>
          <w:rFonts w:eastAsia="仿宋_GB2312" w:hint="eastAsia"/>
          <w:sz w:val="32"/>
          <w:szCs w:val="32"/>
        </w:rPr>
        <w:t>部分：运输容器和系统的性能试验</w:t>
      </w:r>
      <w:r>
        <w:rPr>
          <w:rFonts w:eastAsia="仿宋_GB2312" w:hint="eastAsia"/>
          <w:sz w:val="32"/>
          <w:szCs w:val="32"/>
        </w:rPr>
        <w:t>[S].</w:t>
      </w:r>
    </w:p>
    <w:bookmarkEnd w:id="20"/>
    <w:bookmarkEnd w:id="21"/>
    <w:p w:rsidR="005D0947" w:rsidRDefault="00AE56B5">
      <w:pPr>
        <w:spacing w:line="520" w:lineRule="exact"/>
        <w:ind w:rightChars="-32" w:right="-67" w:firstLineChars="200" w:firstLine="640"/>
        <w:rPr>
          <w:rFonts w:eastAsia="仿宋_GB2312"/>
          <w:sz w:val="32"/>
          <w:szCs w:val="32"/>
        </w:rPr>
      </w:pPr>
      <w:r>
        <w:rPr>
          <w:rFonts w:eastAsia="仿宋_GB2312" w:hint="eastAsia"/>
          <w:sz w:val="32"/>
          <w:szCs w:val="32"/>
        </w:rPr>
        <w:t>[22]YY/T 1437,</w:t>
      </w:r>
      <w:r>
        <w:rPr>
          <w:rFonts w:hint="eastAsia"/>
        </w:rPr>
        <w:t xml:space="preserve"> </w:t>
      </w:r>
      <w:r>
        <w:rPr>
          <w:rFonts w:eastAsia="仿宋_GB2312" w:hint="eastAsia"/>
          <w:sz w:val="32"/>
          <w:szCs w:val="32"/>
        </w:rPr>
        <w:t>医疗器械</w:t>
      </w:r>
      <w:r>
        <w:rPr>
          <w:rFonts w:eastAsia="仿宋_GB2312" w:hint="eastAsia"/>
          <w:sz w:val="32"/>
          <w:szCs w:val="32"/>
        </w:rPr>
        <w:t xml:space="preserve"> GBT </w:t>
      </w:r>
      <w:r>
        <w:rPr>
          <w:rFonts w:eastAsia="仿宋_GB2312" w:hint="eastAsia"/>
          <w:sz w:val="32"/>
          <w:szCs w:val="32"/>
        </w:rPr>
        <w:t>42062</w:t>
      </w:r>
      <w:r>
        <w:rPr>
          <w:rFonts w:eastAsia="仿宋_GB2312" w:hint="eastAsia"/>
          <w:sz w:val="32"/>
          <w:szCs w:val="32"/>
        </w:rPr>
        <w:t>应用指南</w:t>
      </w:r>
      <w:r>
        <w:rPr>
          <w:rFonts w:eastAsia="仿宋_GB2312" w:hint="eastAsia"/>
          <w:sz w:val="32"/>
          <w:szCs w:val="32"/>
        </w:rPr>
        <w:t>[S].</w:t>
      </w:r>
    </w:p>
    <w:p w:rsidR="005D0947" w:rsidRDefault="00AE56B5">
      <w:pPr>
        <w:spacing w:line="520" w:lineRule="exact"/>
        <w:ind w:rightChars="-32" w:right="-67" w:firstLineChars="200" w:firstLine="640"/>
        <w:rPr>
          <w:rFonts w:eastAsia="仿宋_GB2312"/>
          <w:color w:val="000000"/>
          <w:sz w:val="32"/>
          <w:szCs w:val="32"/>
        </w:rPr>
      </w:pPr>
      <w:r>
        <w:rPr>
          <w:rFonts w:eastAsia="仿宋_GB2312" w:hint="eastAsia"/>
          <w:sz w:val="32"/>
          <w:szCs w:val="32"/>
        </w:rPr>
        <w:t>[23]</w:t>
      </w:r>
      <w:r>
        <w:rPr>
          <w:rFonts w:eastAsia="仿宋_GB2312" w:hint="eastAsia"/>
          <w:sz w:val="32"/>
          <w:szCs w:val="32"/>
        </w:rPr>
        <w:t>中华人民共和国药典</w:t>
      </w:r>
      <w:r>
        <w:rPr>
          <w:rFonts w:eastAsia="仿宋_GB2312" w:hint="eastAsia"/>
          <w:sz w:val="32"/>
          <w:szCs w:val="32"/>
        </w:rPr>
        <w:t>[S].</w:t>
      </w:r>
      <w:r>
        <w:rPr>
          <w:rFonts w:eastAsia="仿宋_GB2312"/>
          <w:color w:val="000000"/>
          <w:sz w:val="32"/>
          <w:szCs w:val="32"/>
        </w:rPr>
        <w:br w:type="page"/>
      </w:r>
    </w:p>
    <w:p w:rsidR="005D0947" w:rsidRDefault="00AE56B5">
      <w:pPr>
        <w:pStyle w:val="af2"/>
        <w:spacing w:line="520" w:lineRule="exact"/>
        <w:outlineLvl w:val="0"/>
        <w:rPr>
          <w:rFonts w:ascii="Times New Roman" w:eastAsia="黑体" w:hAnsi="Times New Roman"/>
          <w:kern w:val="2"/>
          <w:sz w:val="32"/>
          <w:szCs w:val="32"/>
        </w:rPr>
      </w:pPr>
      <w:r>
        <w:rPr>
          <w:rFonts w:ascii="Times New Roman" w:eastAsia="黑体" w:hAnsi="Times New Roman" w:hint="eastAsia"/>
          <w:kern w:val="2"/>
          <w:sz w:val="32"/>
          <w:szCs w:val="32"/>
        </w:rPr>
        <w:lastRenderedPageBreak/>
        <w:t>附件</w:t>
      </w:r>
    </w:p>
    <w:p w:rsidR="005D0947" w:rsidRDefault="005D0947">
      <w:pPr>
        <w:pStyle w:val="af2"/>
        <w:spacing w:line="520" w:lineRule="exact"/>
        <w:rPr>
          <w:rFonts w:ascii="Times New Roman" w:eastAsia="黑体" w:hAnsi="Times New Roman"/>
          <w:kern w:val="2"/>
          <w:sz w:val="32"/>
          <w:szCs w:val="32"/>
        </w:rPr>
      </w:pPr>
    </w:p>
    <w:p w:rsidR="005D0947" w:rsidRDefault="00AE56B5">
      <w:pPr>
        <w:spacing w:line="520" w:lineRule="exact"/>
        <w:jc w:val="center"/>
        <w:rPr>
          <w:rFonts w:eastAsia="黑体"/>
          <w:sz w:val="28"/>
          <w:szCs w:val="28"/>
        </w:rPr>
      </w:pPr>
      <w:r>
        <w:rPr>
          <w:rFonts w:eastAsia="黑体" w:hint="eastAsia"/>
          <w:sz w:val="28"/>
          <w:szCs w:val="28"/>
        </w:rPr>
        <w:t>表</w:t>
      </w:r>
      <w:r>
        <w:rPr>
          <w:rFonts w:eastAsia="黑体" w:hint="eastAsia"/>
          <w:sz w:val="28"/>
          <w:szCs w:val="28"/>
        </w:rPr>
        <w:t>1</w:t>
      </w:r>
      <w:r>
        <w:rPr>
          <w:rFonts w:eastAsia="黑体"/>
          <w:sz w:val="28"/>
          <w:szCs w:val="28"/>
        </w:rPr>
        <w:t xml:space="preserve"> </w:t>
      </w:r>
      <w:r>
        <w:rPr>
          <w:rFonts w:eastAsia="黑体" w:hint="eastAsia"/>
          <w:sz w:val="28"/>
          <w:szCs w:val="28"/>
        </w:rPr>
        <w:t>产品主要危害</w:t>
      </w:r>
    </w:p>
    <w:tbl>
      <w:tblPr>
        <w:tblW w:w="8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268"/>
        <w:gridCol w:w="3260"/>
        <w:gridCol w:w="1871"/>
      </w:tblGrid>
      <w:tr w:rsidR="005D0947">
        <w:trPr>
          <w:cantSplit/>
          <w:trHeight w:val="495"/>
          <w:tblHeader/>
          <w:jc w:val="center"/>
        </w:trPr>
        <w:tc>
          <w:tcPr>
            <w:tcW w:w="3680" w:type="dxa"/>
            <w:gridSpan w:val="2"/>
          </w:tcPr>
          <w:p w:rsidR="005D0947" w:rsidRDefault="00AE56B5">
            <w:pPr>
              <w:spacing w:line="520" w:lineRule="exact"/>
              <w:jc w:val="center"/>
              <w:rPr>
                <w:rFonts w:ascii="黑体" w:eastAsia="黑体" w:hAnsi="黑体" w:cs="黑体"/>
                <w:sz w:val="28"/>
                <w:szCs w:val="28"/>
              </w:rPr>
            </w:pPr>
            <w:r>
              <w:rPr>
                <w:rFonts w:ascii="黑体" w:eastAsia="黑体" w:hAnsi="黑体" w:cs="黑体" w:hint="eastAsia"/>
                <w:sz w:val="28"/>
                <w:szCs w:val="28"/>
              </w:rPr>
              <w:t>危害的分类</w:t>
            </w:r>
          </w:p>
        </w:tc>
        <w:tc>
          <w:tcPr>
            <w:tcW w:w="3260" w:type="dxa"/>
          </w:tcPr>
          <w:p w:rsidR="005D0947" w:rsidRDefault="00AE56B5">
            <w:pPr>
              <w:spacing w:line="520" w:lineRule="exact"/>
              <w:jc w:val="center"/>
              <w:rPr>
                <w:rFonts w:ascii="黑体" w:eastAsia="黑体" w:hAnsi="黑体" w:cs="黑体"/>
                <w:sz w:val="28"/>
                <w:szCs w:val="28"/>
              </w:rPr>
            </w:pPr>
            <w:r>
              <w:rPr>
                <w:rFonts w:ascii="黑体" w:eastAsia="黑体" w:hAnsi="黑体" w:cs="黑体" w:hint="eastAsia"/>
                <w:sz w:val="28"/>
                <w:szCs w:val="28"/>
              </w:rPr>
              <w:t>危害的形成因素</w:t>
            </w:r>
          </w:p>
        </w:tc>
        <w:tc>
          <w:tcPr>
            <w:tcW w:w="1871" w:type="dxa"/>
          </w:tcPr>
          <w:p w:rsidR="005D0947" w:rsidRDefault="00AE56B5">
            <w:pPr>
              <w:spacing w:line="520" w:lineRule="exact"/>
              <w:jc w:val="center"/>
              <w:rPr>
                <w:rFonts w:ascii="黑体" w:eastAsia="黑体" w:hAnsi="黑体" w:cs="黑体"/>
                <w:sz w:val="28"/>
                <w:szCs w:val="28"/>
              </w:rPr>
            </w:pPr>
            <w:r>
              <w:rPr>
                <w:rFonts w:ascii="黑体" w:eastAsia="黑体" w:hAnsi="黑体" w:cs="黑体" w:hint="eastAsia"/>
                <w:sz w:val="28"/>
                <w:szCs w:val="28"/>
              </w:rPr>
              <w:t>可能的后果</w:t>
            </w:r>
          </w:p>
        </w:tc>
      </w:tr>
      <w:tr w:rsidR="005D0947">
        <w:trPr>
          <w:cantSplit/>
          <w:trHeight w:val="1247"/>
          <w:jc w:val="center"/>
        </w:trPr>
        <w:tc>
          <w:tcPr>
            <w:tcW w:w="1412" w:type="dxa"/>
            <w:vMerge w:val="restart"/>
            <w:vAlign w:val="center"/>
          </w:tcPr>
          <w:p w:rsidR="005D0947" w:rsidRDefault="00AE56B5">
            <w:pPr>
              <w:spacing w:line="520" w:lineRule="exact"/>
              <w:jc w:val="center"/>
              <w:rPr>
                <w:rFonts w:eastAsia="仿宋_GB2312"/>
                <w:sz w:val="28"/>
                <w:szCs w:val="28"/>
              </w:rPr>
            </w:pPr>
            <w:r>
              <w:rPr>
                <w:rFonts w:eastAsia="仿宋_GB2312" w:hint="eastAsia"/>
                <w:sz w:val="28"/>
                <w:szCs w:val="28"/>
              </w:rPr>
              <w:t>生物和化学危险</w:t>
            </w: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生物污染</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生产环境控制不好。灭菌操作不严格。包装破损。使用时操作不正规。</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产品带菌，引起患者感染。</w:t>
            </w:r>
          </w:p>
        </w:tc>
      </w:tr>
      <w:tr w:rsidR="005D0947">
        <w:trPr>
          <w:cantSplit/>
          <w:trHeight w:val="794"/>
          <w:jc w:val="center"/>
        </w:trPr>
        <w:tc>
          <w:tcPr>
            <w:tcW w:w="1412" w:type="dxa"/>
            <w:vMerge/>
          </w:tcPr>
          <w:p w:rsidR="005D0947" w:rsidRDefault="005D0947">
            <w:pPr>
              <w:spacing w:line="520" w:lineRule="exact"/>
              <w:jc w:val="center"/>
              <w:rPr>
                <w:rFonts w:eastAsia="仿宋_GB2312"/>
                <w:sz w:val="28"/>
                <w:szCs w:val="28"/>
              </w:rPr>
            </w:pP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不正确的配方（化学成分）</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未按照设计要求选择适宜材料。小分子物质残留量过大。</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造成毒性危害。</w:t>
            </w:r>
          </w:p>
        </w:tc>
      </w:tr>
      <w:tr w:rsidR="005D0947">
        <w:trPr>
          <w:cantSplit/>
          <w:trHeight w:val="1531"/>
          <w:jc w:val="center"/>
        </w:trPr>
        <w:tc>
          <w:tcPr>
            <w:tcW w:w="1412" w:type="dxa"/>
            <w:vMerge/>
          </w:tcPr>
          <w:p w:rsidR="005D0947" w:rsidRDefault="005D0947">
            <w:pPr>
              <w:spacing w:line="520" w:lineRule="exact"/>
              <w:jc w:val="center"/>
              <w:rPr>
                <w:rFonts w:eastAsia="仿宋_GB2312"/>
                <w:sz w:val="28"/>
                <w:szCs w:val="28"/>
              </w:rPr>
            </w:pP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加工工艺</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加工工艺控制不严格，后处理工艺控制不严格，加工过程中引入了外来有害物质而未被有效去除。</w:t>
            </w:r>
          </w:p>
        </w:tc>
        <w:tc>
          <w:tcPr>
            <w:tcW w:w="1871" w:type="dxa"/>
            <w:tcBorders>
              <w:bottom w:val="single" w:sz="4" w:space="0" w:color="auto"/>
            </w:tcBorders>
          </w:tcPr>
          <w:p w:rsidR="005D0947" w:rsidRDefault="00AE56B5">
            <w:pPr>
              <w:spacing w:line="520" w:lineRule="exact"/>
              <w:jc w:val="center"/>
              <w:rPr>
                <w:rFonts w:eastAsia="仿宋_GB2312"/>
                <w:sz w:val="28"/>
                <w:szCs w:val="28"/>
              </w:rPr>
            </w:pPr>
            <w:r>
              <w:rPr>
                <w:rFonts w:eastAsia="仿宋_GB2312" w:hint="eastAsia"/>
                <w:sz w:val="28"/>
                <w:szCs w:val="28"/>
              </w:rPr>
              <w:t>引入有害物质，引起患者感染或造成毒性危害。</w:t>
            </w:r>
          </w:p>
        </w:tc>
      </w:tr>
      <w:tr w:rsidR="005D0947">
        <w:trPr>
          <w:cantSplit/>
          <w:trHeight w:val="850"/>
          <w:jc w:val="center"/>
        </w:trPr>
        <w:tc>
          <w:tcPr>
            <w:tcW w:w="1412" w:type="dxa"/>
            <w:vMerge/>
          </w:tcPr>
          <w:p w:rsidR="005D0947" w:rsidRDefault="005D0947">
            <w:pPr>
              <w:spacing w:line="520" w:lineRule="exact"/>
              <w:jc w:val="center"/>
              <w:rPr>
                <w:rFonts w:eastAsia="仿宋_GB2312"/>
                <w:sz w:val="28"/>
                <w:szCs w:val="28"/>
              </w:rPr>
            </w:pP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再感染和</w:t>
            </w:r>
            <w:r>
              <w:rPr>
                <w:rFonts w:eastAsia="仿宋_GB2312" w:hint="eastAsia"/>
                <w:sz w:val="28"/>
                <w:szCs w:val="28"/>
              </w:rPr>
              <w:t>/</w:t>
            </w:r>
            <w:r>
              <w:rPr>
                <w:rFonts w:eastAsia="仿宋_GB2312" w:hint="eastAsia"/>
                <w:sz w:val="28"/>
                <w:szCs w:val="28"/>
              </w:rPr>
              <w:t>或交叉感染</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使用不当、标识不清。</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引起交叉感染。</w:t>
            </w:r>
          </w:p>
        </w:tc>
      </w:tr>
      <w:tr w:rsidR="005D0947">
        <w:trPr>
          <w:cantSplit/>
          <w:jc w:val="center"/>
        </w:trPr>
        <w:tc>
          <w:tcPr>
            <w:tcW w:w="1412" w:type="dxa"/>
            <w:vMerge w:val="restart"/>
            <w:vAlign w:val="center"/>
          </w:tcPr>
          <w:p w:rsidR="005D0947" w:rsidRDefault="00AE56B5">
            <w:pPr>
              <w:spacing w:line="520" w:lineRule="exact"/>
              <w:jc w:val="center"/>
              <w:rPr>
                <w:rFonts w:eastAsia="仿宋_GB2312"/>
                <w:sz w:val="28"/>
                <w:szCs w:val="28"/>
              </w:rPr>
            </w:pPr>
            <w:r>
              <w:rPr>
                <w:rFonts w:eastAsia="仿宋_GB2312" w:hint="eastAsia"/>
                <w:sz w:val="28"/>
                <w:szCs w:val="28"/>
              </w:rPr>
              <w:t>环境因素</w:t>
            </w: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储存或运行偏离预定的环境条件</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储运条件（如温度、湿度）不符合要求。</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产品老化。</w:t>
            </w:r>
          </w:p>
          <w:p w:rsidR="005D0947" w:rsidRDefault="00AE56B5">
            <w:pPr>
              <w:spacing w:line="520" w:lineRule="exact"/>
              <w:jc w:val="center"/>
              <w:rPr>
                <w:rFonts w:eastAsia="仿宋_GB2312"/>
                <w:sz w:val="28"/>
                <w:szCs w:val="28"/>
              </w:rPr>
            </w:pPr>
            <w:r>
              <w:rPr>
                <w:rFonts w:eastAsia="仿宋_GB2312" w:hint="eastAsia"/>
                <w:sz w:val="28"/>
                <w:szCs w:val="28"/>
              </w:rPr>
              <w:t>无菌有效期缩短。</w:t>
            </w:r>
          </w:p>
        </w:tc>
      </w:tr>
      <w:tr w:rsidR="005D0947">
        <w:trPr>
          <w:cantSplit/>
          <w:jc w:val="center"/>
        </w:trPr>
        <w:tc>
          <w:tcPr>
            <w:tcW w:w="1412" w:type="dxa"/>
            <w:vMerge/>
          </w:tcPr>
          <w:p w:rsidR="005D0947" w:rsidRDefault="005D0947">
            <w:pPr>
              <w:spacing w:line="520" w:lineRule="exact"/>
              <w:jc w:val="center"/>
              <w:rPr>
                <w:rFonts w:eastAsia="仿宋_GB2312"/>
                <w:sz w:val="28"/>
                <w:szCs w:val="28"/>
              </w:rPr>
            </w:pP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意外的机械破坏</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储运、使用过程中发生意外的机械性破坏。</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产品使用性能无法得到保证。</w:t>
            </w:r>
          </w:p>
        </w:tc>
      </w:tr>
      <w:tr w:rsidR="005D0947">
        <w:trPr>
          <w:cantSplit/>
          <w:jc w:val="center"/>
        </w:trPr>
        <w:tc>
          <w:tcPr>
            <w:tcW w:w="1412" w:type="dxa"/>
            <w:vMerge/>
          </w:tcPr>
          <w:p w:rsidR="005D0947" w:rsidRDefault="005D0947">
            <w:pPr>
              <w:spacing w:line="520" w:lineRule="exact"/>
              <w:jc w:val="center"/>
              <w:rPr>
                <w:rFonts w:eastAsia="仿宋_GB2312"/>
                <w:sz w:val="28"/>
                <w:szCs w:val="28"/>
              </w:rPr>
            </w:pP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由于废物和</w:t>
            </w:r>
            <w:r>
              <w:rPr>
                <w:rFonts w:eastAsia="仿宋_GB2312" w:hint="eastAsia"/>
                <w:sz w:val="28"/>
                <w:szCs w:val="28"/>
              </w:rPr>
              <w:t>/</w:t>
            </w:r>
            <w:r>
              <w:rPr>
                <w:rFonts w:eastAsia="仿宋_GB2312" w:hint="eastAsia"/>
                <w:sz w:val="28"/>
                <w:szCs w:val="28"/>
              </w:rPr>
              <w:t>或医疗器械处置的污染</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使用后的产品没有按照要求集中销毁。</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造成环境污染或者接触人员的感染。</w:t>
            </w:r>
          </w:p>
        </w:tc>
      </w:tr>
      <w:tr w:rsidR="005D0947">
        <w:trPr>
          <w:cantSplit/>
          <w:trHeight w:val="1071"/>
          <w:jc w:val="center"/>
        </w:trPr>
        <w:tc>
          <w:tcPr>
            <w:tcW w:w="1412" w:type="dxa"/>
            <w:vMerge w:val="restart"/>
            <w:vAlign w:val="center"/>
          </w:tcPr>
          <w:p w:rsidR="005D0947" w:rsidRDefault="00AE56B5">
            <w:pPr>
              <w:spacing w:line="520" w:lineRule="exact"/>
              <w:jc w:val="center"/>
              <w:rPr>
                <w:rFonts w:eastAsia="仿宋_GB2312"/>
                <w:sz w:val="28"/>
                <w:szCs w:val="28"/>
              </w:rPr>
            </w:pPr>
            <w:r>
              <w:rPr>
                <w:rFonts w:eastAsia="仿宋_GB2312" w:hint="eastAsia"/>
                <w:sz w:val="28"/>
                <w:szCs w:val="28"/>
              </w:rPr>
              <w:lastRenderedPageBreak/>
              <w:t>可用性</w:t>
            </w: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不适当的标记</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标记不清晰、错误、</w:t>
            </w:r>
          </w:p>
          <w:p w:rsidR="005D0947" w:rsidRDefault="00AE56B5">
            <w:pPr>
              <w:spacing w:line="520" w:lineRule="exact"/>
              <w:jc w:val="center"/>
              <w:rPr>
                <w:rFonts w:eastAsia="仿宋_GB2312"/>
                <w:sz w:val="28"/>
                <w:szCs w:val="28"/>
              </w:rPr>
            </w:pPr>
            <w:r>
              <w:rPr>
                <w:rFonts w:eastAsia="仿宋_GB2312" w:hint="eastAsia"/>
                <w:sz w:val="28"/>
                <w:szCs w:val="28"/>
              </w:rPr>
              <w:t>没有按照要求进行标记。</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错误使用。</w:t>
            </w:r>
          </w:p>
          <w:p w:rsidR="005D0947" w:rsidRDefault="00AE56B5">
            <w:pPr>
              <w:spacing w:line="520" w:lineRule="exact"/>
              <w:jc w:val="center"/>
              <w:rPr>
                <w:rFonts w:eastAsia="仿宋_GB2312"/>
                <w:sz w:val="28"/>
                <w:szCs w:val="28"/>
              </w:rPr>
            </w:pPr>
            <w:r>
              <w:rPr>
                <w:rFonts w:eastAsia="仿宋_GB2312" w:hint="eastAsia"/>
                <w:sz w:val="28"/>
                <w:szCs w:val="28"/>
              </w:rPr>
              <w:t>储存错误。</w:t>
            </w:r>
          </w:p>
          <w:p w:rsidR="005D0947" w:rsidRDefault="00AE56B5">
            <w:pPr>
              <w:spacing w:line="520" w:lineRule="exact"/>
              <w:jc w:val="center"/>
              <w:rPr>
                <w:rFonts w:eastAsia="仿宋_GB2312"/>
                <w:sz w:val="28"/>
                <w:szCs w:val="28"/>
              </w:rPr>
            </w:pPr>
            <w:r>
              <w:rPr>
                <w:rFonts w:eastAsia="仿宋_GB2312" w:hint="eastAsia"/>
                <w:sz w:val="28"/>
                <w:szCs w:val="28"/>
              </w:rPr>
              <w:t>产品辨别错误。</w:t>
            </w:r>
          </w:p>
        </w:tc>
      </w:tr>
      <w:tr w:rsidR="005D0947">
        <w:trPr>
          <w:cantSplit/>
          <w:jc w:val="center"/>
        </w:trPr>
        <w:tc>
          <w:tcPr>
            <w:tcW w:w="1412" w:type="dxa"/>
            <w:vMerge/>
          </w:tcPr>
          <w:p w:rsidR="005D0947" w:rsidRDefault="005D0947">
            <w:pPr>
              <w:spacing w:line="520" w:lineRule="exact"/>
              <w:jc w:val="center"/>
              <w:rPr>
                <w:rFonts w:eastAsia="仿宋_GB2312"/>
                <w:sz w:val="28"/>
                <w:szCs w:val="28"/>
              </w:rPr>
            </w:pP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不适当的操作说明，如：</w:t>
            </w:r>
          </w:p>
          <w:p w:rsidR="005D0947" w:rsidRDefault="00AE56B5">
            <w:pPr>
              <w:spacing w:line="520" w:lineRule="exact"/>
              <w:jc w:val="center"/>
              <w:rPr>
                <w:rFonts w:eastAsia="仿宋_GB2312"/>
                <w:sz w:val="28"/>
                <w:szCs w:val="28"/>
              </w:rPr>
            </w:pPr>
            <w:r>
              <w:rPr>
                <w:rFonts w:eastAsia="仿宋_GB2312" w:hint="eastAsia"/>
                <w:sz w:val="28"/>
                <w:szCs w:val="28"/>
              </w:rPr>
              <w:t>偏离使用说明；说明书关于使用说明不全面</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包装破损无法识别。</w:t>
            </w:r>
          </w:p>
          <w:p w:rsidR="005D0947" w:rsidRDefault="00AE56B5">
            <w:pPr>
              <w:spacing w:line="520" w:lineRule="exact"/>
              <w:jc w:val="center"/>
              <w:rPr>
                <w:rFonts w:eastAsia="仿宋_GB2312"/>
                <w:sz w:val="28"/>
                <w:szCs w:val="28"/>
              </w:rPr>
            </w:pPr>
            <w:r>
              <w:rPr>
                <w:rFonts w:eastAsia="仿宋_GB2312" w:hint="eastAsia"/>
                <w:sz w:val="28"/>
                <w:szCs w:val="28"/>
              </w:rPr>
              <w:t>操作要点不突出。</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无法保证使用安全性。</w:t>
            </w:r>
          </w:p>
          <w:p w:rsidR="005D0947" w:rsidRDefault="00AE56B5">
            <w:pPr>
              <w:spacing w:line="520" w:lineRule="exact"/>
              <w:jc w:val="center"/>
              <w:rPr>
                <w:rFonts w:eastAsia="仿宋_GB2312"/>
                <w:sz w:val="28"/>
                <w:szCs w:val="28"/>
              </w:rPr>
            </w:pPr>
            <w:r>
              <w:rPr>
                <w:rFonts w:eastAsia="仿宋_GB2312" w:hint="eastAsia"/>
                <w:sz w:val="28"/>
                <w:szCs w:val="28"/>
              </w:rPr>
              <w:t>导致操作失误。</w:t>
            </w:r>
          </w:p>
        </w:tc>
      </w:tr>
      <w:tr w:rsidR="005D0947">
        <w:trPr>
          <w:cantSplit/>
          <w:jc w:val="center"/>
        </w:trPr>
        <w:tc>
          <w:tcPr>
            <w:tcW w:w="1412" w:type="dxa"/>
            <w:vMerge/>
          </w:tcPr>
          <w:p w:rsidR="005D0947" w:rsidRDefault="005D0947">
            <w:pPr>
              <w:spacing w:line="520" w:lineRule="exact"/>
              <w:jc w:val="center"/>
              <w:rPr>
                <w:rFonts w:eastAsia="仿宋_GB2312"/>
                <w:sz w:val="28"/>
                <w:szCs w:val="28"/>
              </w:rPr>
            </w:pP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由不熟练</w:t>
            </w:r>
            <w:r>
              <w:rPr>
                <w:rFonts w:eastAsia="仿宋_GB2312" w:hint="eastAsia"/>
                <w:sz w:val="28"/>
                <w:szCs w:val="28"/>
              </w:rPr>
              <w:t>/</w:t>
            </w:r>
            <w:r>
              <w:rPr>
                <w:rFonts w:eastAsia="仿宋_GB2312" w:hint="eastAsia"/>
                <w:sz w:val="28"/>
                <w:szCs w:val="28"/>
              </w:rPr>
              <w:t>未经培训的人员使用</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操作不熟练、操作失误。</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导致延误或不正确治疗。</w:t>
            </w:r>
          </w:p>
        </w:tc>
      </w:tr>
      <w:tr w:rsidR="005D0947">
        <w:trPr>
          <w:cantSplit/>
          <w:jc w:val="center"/>
        </w:trPr>
        <w:tc>
          <w:tcPr>
            <w:tcW w:w="1412" w:type="dxa"/>
            <w:vMerge/>
          </w:tcPr>
          <w:p w:rsidR="005D0947" w:rsidRDefault="005D0947">
            <w:pPr>
              <w:spacing w:line="520" w:lineRule="exact"/>
              <w:jc w:val="center"/>
              <w:rPr>
                <w:rFonts w:eastAsia="仿宋_GB2312"/>
                <w:sz w:val="28"/>
                <w:szCs w:val="28"/>
              </w:rPr>
            </w:pP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合理可预见的误用</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型号规格选用错误。</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导致无法达到满意的效果。</w:t>
            </w:r>
          </w:p>
        </w:tc>
      </w:tr>
      <w:tr w:rsidR="005D0947">
        <w:trPr>
          <w:cantSplit/>
          <w:trHeight w:val="1800"/>
          <w:jc w:val="center"/>
        </w:trPr>
        <w:tc>
          <w:tcPr>
            <w:tcW w:w="1412" w:type="dxa"/>
            <w:vMerge/>
          </w:tcPr>
          <w:p w:rsidR="005D0947" w:rsidRDefault="005D0947">
            <w:pPr>
              <w:spacing w:line="520" w:lineRule="exact"/>
              <w:jc w:val="center"/>
              <w:rPr>
                <w:rFonts w:eastAsia="仿宋_GB2312"/>
                <w:sz w:val="28"/>
                <w:szCs w:val="28"/>
              </w:rPr>
            </w:pP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对一次性使用医疗器械很可能再次使用的危险（源）警告不适当</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造成重复使用。</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交叉感染。</w:t>
            </w:r>
          </w:p>
        </w:tc>
      </w:tr>
      <w:tr w:rsidR="005D0947">
        <w:trPr>
          <w:cantSplit/>
          <w:trHeight w:val="1966"/>
          <w:jc w:val="center"/>
        </w:trPr>
        <w:tc>
          <w:tcPr>
            <w:tcW w:w="1412" w:type="dxa"/>
            <w:vMerge/>
          </w:tcPr>
          <w:p w:rsidR="005D0947" w:rsidRDefault="005D0947">
            <w:pPr>
              <w:spacing w:line="520" w:lineRule="exact"/>
              <w:jc w:val="center"/>
              <w:rPr>
                <w:rFonts w:eastAsia="仿宋_GB2312"/>
                <w:sz w:val="28"/>
                <w:szCs w:val="28"/>
              </w:rPr>
            </w:pPr>
          </w:p>
        </w:tc>
        <w:tc>
          <w:tcPr>
            <w:tcW w:w="2268" w:type="dxa"/>
            <w:tcBorders>
              <w:top w:val="nil"/>
            </w:tcBorders>
          </w:tcPr>
          <w:p w:rsidR="005D0947" w:rsidRDefault="00AE56B5">
            <w:pPr>
              <w:spacing w:line="520" w:lineRule="exact"/>
              <w:jc w:val="center"/>
              <w:rPr>
                <w:rFonts w:eastAsia="仿宋_GB2312"/>
                <w:sz w:val="28"/>
                <w:szCs w:val="28"/>
              </w:rPr>
            </w:pPr>
            <w:r>
              <w:rPr>
                <w:rFonts w:eastAsia="仿宋_GB2312" w:hint="eastAsia"/>
                <w:sz w:val="28"/>
                <w:szCs w:val="28"/>
              </w:rPr>
              <w:t>违反或缩减说明书、程序等</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操作方法、注意事项、储存方法、警示事项等表述不清。</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重复使用引起感染。</w:t>
            </w:r>
          </w:p>
          <w:p w:rsidR="005D0947" w:rsidRDefault="00AE56B5">
            <w:pPr>
              <w:spacing w:line="520" w:lineRule="exact"/>
              <w:jc w:val="center"/>
              <w:rPr>
                <w:rFonts w:eastAsia="仿宋_GB2312"/>
                <w:sz w:val="28"/>
                <w:szCs w:val="28"/>
              </w:rPr>
            </w:pPr>
            <w:r>
              <w:rPr>
                <w:rFonts w:eastAsia="仿宋_GB2312" w:hint="eastAsia"/>
                <w:sz w:val="28"/>
                <w:szCs w:val="28"/>
              </w:rPr>
              <w:t>没有集中销毁造成环境污染等。</w:t>
            </w:r>
          </w:p>
        </w:tc>
      </w:tr>
      <w:tr w:rsidR="005D0947">
        <w:trPr>
          <w:cantSplit/>
          <w:jc w:val="center"/>
        </w:trPr>
        <w:tc>
          <w:tcPr>
            <w:tcW w:w="1412" w:type="dxa"/>
            <w:vMerge w:val="restart"/>
            <w:vAlign w:val="center"/>
          </w:tcPr>
          <w:p w:rsidR="005D0947" w:rsidRDefault="00AE56B5">
            <w:pPr>
              <w:spacing w:line="520" w:lineRule="exact"/>
              <w:jc w:val="center"/>
              <w:rPr>
                <w:rFonts w:eastAsia="仿宋_GB2312"/>
                <w:sz w:val="28"/>
                <w:szCs w:val="28"/>
              </w:rPr>
            </w:pPr>
            <w:r>
              <w:rPr>
                <w:rFonts w:eastAsia="仿宋_GB2312" w:hint="eastAsia"/>
                <w:sz w:val="28"/>
                <w:szCs w:val="28"/>
              </w:rPr>
              <w:lastRenderedPageBreak/>
              <w:t>功能性</w:t>
            </w: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对医疗器械寿命终止缺少适当的决定</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没有标识产品有效期。</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超出灭菌有效期的产品被使用，造成细菌感染。</w:t>
            </w:r>
          </w:p>
        </w:tc>
      </w:tr>
      <w:tr w:rsidR="005D0947">
        <w:trPr>
          <w:cantSplit/>
          <w:jc w:val="center"/>
        </w:trPr>
        <w:tc>
          <w:tcPr>
            <w:tcW w:w="1412" w:type="dxa"/>
            <w:vMerge/>
          </w:tcPr>
          <w:p w:rsidR="005D0947" w:rsidRDefault="005D0947">
            <w:pPr>
              <w:spacing w:line="520" w:lineRule="exact"/>
              <w:jc w:val="center"/>
              <w:rPr>
                <w:rFonts w:eastAsia="仿宋_GB2312"/>
                <w:sz w:val="28"/>
                <w:szCs w:val="28"/>
              </w:rPr>
            </w:pP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不适当的包装（医疗器械的污染和</w:t>
            </w:r>
            <w:r>
              <w:rPr>
                <w:rFonts w:eastAsia="仿宋_GB2312" w:hint="eastAsia"/>
                <w:sz w:val="28"/>
                <w:szCs w:val="28"/>
              </w:rPr>
              <w:t>/</w:t>
            </w:r>
            <w:r>
              <w:rPr>
                <w:rFonts w:eastAsia="仿宋_GB2312" w:hint="eastAsia"/>
                <w:sz w:val="28"/>
                <w:szCs w:val="28"/>
              </w:rPr>
              <w:t>或变质）</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没有进行包装确认。</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不能确保产品无菌，从而导致出现细菌感染。</w:t>
            </w:r>
          </w:p>
        </w:tc>
      </w:tr>
      <w:tr w:rsidR="005D0947">
        <w:trPr>
          <w:cantSplit/>
          <w:jc w:val="center"/>
        </w:trPr>
        <w:tc>
          <w:tcPr>
            <w:tcW w:w="1412" w:type="dxa"/>
            <w:vMerge/>
          </w:tcPr>
          <w:p w:rsidR="005D0947" w:rsidRDefault="005D0947">
            <w:pPr>
              <w:spacing w:line="520" w:lineRule="exact"/>
              <w:jc w:val="center"/>
              <w:rPr>
                <w:rFonts w:eastAsia="仿宋_GB2312"/>
                <w:sz w:val="28"/>
                <w:szCs w:val="28"/>
              </w:rPr>
            </w:pP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再次使用和</w:t>
            </w:r>
            <w:r>
              <w:rPr>
                <w:rFonts w:eastAsia="仿宋_GB2312" w:hint="eastAsia"/>
                <w:sz w:val="28"/>
                <w:szCs w:val="28"/>
              </w:rPr>
              <w:t>/</w:t>
            </w:r>
            <w:r>
              <w:rPr>
                <w:rFonts w:eastAsia="仿宋_GB2312" w:hint="eastAsia"/>
                <w:sz w:val="28"/>
                <w:szCs w:val="28"/>
              </w:rPr>
              <w:t>或不适当的再次使用</w:t>
            </w:r>
          </w:p>
        </w:tc>
        <w:tc>
          <w:tcPr>
            <w:tcW w:w="3260" w:type="dxa"/>
          </w:tcPr>
          <w:p w:rsidR="005D0947" w:rsidRDefault="00AE56B5">
            <w:pPr>
              <w:spacing w:line="520" w:lineRule="exact"/>
              <w:jc w:val="center"/>
              <w:rPr>
                <w:rFonts w:eastAsia="仿宋_GB2312"/>
                <w:sz w:val="28"/>
                <w:szCs w:val="28"/>
              </w:rPr>
            </w:pPr>
            <w:r>
              <w:rPr>
                <w:rFonts w:eastAsia="仿宋_GB2312" w:hint="eastAsia"/>
                <w:sz w:val="28"/>
                <w:szCs w:val="28"/>
              </w:rPr>
              <w:t>产品标识没有明确只限一次性使用。</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出现细菌感染、交叉感染等现象。</w:t>
            </w:r>
          </w:p>
        </w:tc>
      </w:tr>
      <w:tr w:rsidR="005D0947">
        <w:trPr>
          <w:cantSplit/>
          <w:jc w:val="center"/>
        </w:trPr>
        <w:tc>
          <w:tcPr>
            <w:tcW w:w="1412" w:type="dxa"/>
            <w:vMerge/>
          </w:tcPr>
          <w:p w:rsidR="005D0947" w:rsidRDefault="005D0947">
            <w:pPr>
              <w:spacing w:line="520" w:lineRule="exact"/>
              <w:jc w:val="center"/>
              <w:rPr>
                <w:rFonts w:eastAsia="仿宋_GB2312"/>
                <w:sz w:val="28"/>
                <w:szCs w:val="28"/>
              </w:rPr>
            </w:pPr>
          </w:p>
        </w:tc>
        <w:tc>
          <w:tcPr>
            <w:tcW w:w="2268" w:type="dxa"/>
          </w:tcPr>
          <w:p w:rsidR="005D0947" w:rsidRDefault="00AE56B5">
            <w:pPr>
              <w:spacing w:line="520" w:lineRule="exact"/>
              <w:jc w:val="center"/>
              <w:rPr>
                <w:rFonts w:eastAsia="仿宋_GB2312"/>
                <w:sz w:val="28"/>
                <w:szCs w:val="28"/>
              </w:rPr>
            </w:pPr>
            <w:r>
              <w:rPr>
                <w:rFonts w:eastAsia="仿宋_GB2312" w:hint="eastAsia"/>
                <w:sz w:val="28"/>
                <w:szCs w:val="28"/>
              </w:rPr>
              <w:t>性能缺陷</w:t>
            </w:r>
          </w:p>
        </w:tc>
        <w:tc>
          <w:tcPr>
            <w:tcW w:w="3260" w:type="dxa"/>
          </w:tcPr>
          <w:p w:rsidR="005D0947" w:rsidRDefault="00AE56B5">
            <w:pPr>
              <w:spacing w:line="520" w:lineRule="exact"/>
              <w:jc w:val="center"/>
              <w:rPr>
                <w:rFonts w:ascii="仿宋_GB2312" w:eastAsia="仿宋_GB2312"/>
                <w:color w:val="000000"/>
                <w:sz w:val="28"/>
                <w:szCs w:val="28"/>
              </w:rPr>
            </w:pPr>
            <w:r>
              <w:rPr>
                <w:rFonts w:ascii="仿宋_GB2312" w:eastAsia="仿宋_GB2312" w:hint="eastAsia"/>
                <w:color w:val="000000"/>
                <w:sz w:val="28"/>
                <w:szCs w:val="28"/>
              </w:rPr>
              <w:t>活检袋从患者体内拔出时，袋子受力破裂；</w:t>
            </w:r>
          </w:p>
          <w:p w:rsidR="005D0947" w:rsidRDefault="00AE56B5">
            <w:pPr>
              <w:pStyle w:val="af2"/>
              <w:spacing w:line="520" w:lineRule="exact"/>
              <w:jc w:val="center"/>
              <w:rPr>
                <w:rFonts w:ascii="仿宋_GB2312" w:eastAsia="仿宋_GB2312"/>
                <w:color w:val="000000"/>
                <w:sz w:val="28"/>
                <w:szCs w:val="28"/>
              </w:rPr>
            </w:pPr>
            <w:r>
              <w:rPr>
                <w:rFonts w:ascii="仿宋_GB2312" w:eastAsia="仿宋_GB2312" w:hint="eastAsia"/>
                <w:color w:val="000000"/>
                <w:sz w:val="28"/>
                <w:szCs w:val="28"/>
              </w:rPr>
              <w:t>产品表面粗糙、有毛刺；</w:t>
            </w:r>
          </w:p>
          <w:p w:rsidR="005D0947" w:rsidRDefault="00AE56B5">
            <w:pPr>
              <w:pStyle w:val="af2"/>
              <w:spacing w:line="520" w:lineRule="exact"/>
              <w:jc w:val="center"/>
              <w:rPr>
                <w:rFonts w:ascii="仿宋_GB2312" w:eastAsia="仿宋_GB2312"/>
                <w:color w:val="000000"/>
                <w:sz w:val="28"/>
                <w:szCs w:val="28"/>
              </w:rPr>
            </w:pPr>
            <w:r>
              <w:rPr>
                <w:rFonts w:ascii="仿宋_GB2312" w:eastAsia="仿宋_GB2312" w:hint="eastAsia"/>
                <w:color w:val="000000"/>
                <w:sz w:val="28"/>
                <w:szCs w:val="28"/>
              </w:rPr>
              <w:t>产品连接部位强度不足；</w:t>
            </w:r>
          </w:p>
          <w:p w:rsidR="005D0947" w:rsidRDefault="00AE56B5">
            <w:pPr>
              <w:pStyle w:val="af2"/>
              <w:spacing w:line="520" w:lineRule="exact"/>
              <w:jc w:val="center"/>
              <w:rPr>
                <w:rFonts w:ascii="仿宋_GB2312" w:eastAsia="仿宋_GB2312"/>
                <w:color w:val="000000"/>
                <w:sz w:val="28"/>
                <w:szCs w:val="28"/>
              </w:rPr>
            </w:pPr>
            <w:r>
              <w:rPr>
                <w:rFonts w:ascii="仿宋_GB2312" w:eastAsia="仿宋_GB2312" w:hint="eastAsia"/>
                <w:color w:val="000000"/>
                <w:sz w:val="28"/>
                <w:szCs w:val="28"/>
              </w:rPr>
              <w:t>拉绳的连接强度不足；</w:t>
            </w:r>
          </w:p>
          <w:p w:rsidR="005D0947" w:rsidRDefault="00AE56B5">
            <w:pPr>
              <w:pStyle w:val="af2"/>
              <w:spacing w:line="520" w:lineRule="exact"/>
              <w:jc w:val="center"/>
            </w:pPr>
            <w:r>
              <w:rPr>
                <w:rFonts w:ascii="仿宋_GB2312" w:eastAsia="仿宋_GB2312" w:hint="eastAsia"/>
                <w:color w:val="000000"/>
                <w:sz w:val="28"/>
                <w:szCs w:val="28"/>
              </w:rPr>
              <w:t>机械系统设计不当，推出装置的灵活性不足。</w:t>
            </w:r>
          </w:p>
        </w:tc>
        <w:tc>
          <w:tcPr>
            <w:tcW w:w="1871" w:type="dxa"/>
          </w:tcPr>
          <w:p w:rsidR="005D0947" w:rsidRDefault="00AE56B5">
            <w:pPr>
              <w:spacing w:line="520" w:lineRule="exact"/>
              <w:jc w:val="center"/>
              <w:rPr>
                <w:rFonts w:eastAsia="仿宋_GB2312"/>
                <w:sz w:val="28"/>
                <w:szCs w:val="28"/>
              </w:rPr>
            </w:pPr>
            <w:r>
              <w:rPr>
                <w:rFonts w:eastAsia="仿宋_GB2312" w:hint="eastAsia"/>
                <w:sz w:val="28"/>
                <w:szCs w:val="28"/>
              </w:rPr>
              <w:t>操作失败、损伤患者组织、导致治疗延误。</w:t>
            </w:r>
          </w:p>
        </w:tc>
      </w:tr>
    </w:tbl>
    <w:p w:rsidR="005D0947" w:rsidRDefault="005D0947">
      <w:pPr>
        <w:spacing w:line="360" w:lineRule="auto"/>
        <w:jc w:val="center"/>
      </w:pPr>
    </w:p>
    <w:sectPr w:rsidR="005D0947">
      <w:footerReference w:type="even" r:id="rId11"/>
      <w:footerReference w:type="default" r:id="rId12"/>
      <w:pgSz w:w="11906" w:h="16838"/>
      <w:pgMar w:top="1640" w:right="1600" w:bottom="1814" w:left="1600" w:header="720" w:footer="1474" w:gutter="0"/>
      <w:pgNumType w:fmt="numberInDash"/>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6B5" w:rsidRDefault="00AE56B5">
      <w:r>
        <w:separator/>
      </w:r>
    </w:p>
  </w:endnote>
  <w:endnote w:type="continuationSeparator" w:id="0">
    <w:p w:rsidR="00AE56B5" w:rsidRDefault="00AE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4E7053F5-3BB8-4FEE-8F62-6A5EFF53B558}"/>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embedRegular r:id="rId2" w:subsetted="1" w:fontKey="{CC69B31F-5F15-478C-AE6E-7904B2763DA8}"/>
  </w:font>
  <w:font w:name="仿宋_GB2312">
    <w:panose1 w:val="02010609030101010101"/>
    <w:charset w:val="86"/>
    <w:family w:val="modern"/>
    <w:pitch w:val="fixed"/>
    <w:sig w:usb0="00000001" w:usb1="080E0000" w:usb2="00000010" w:usb3="00000000" w:csb0="00040000" w:csb1="00000000"/>
    <w:embedRegular r:id="rId3" w:subsetted="1" w:fontKey="{8E73516E-7F98-4186-8A0B-B9E7C2F3048D}"/>
  </w:font>
  <w:font w:name="楷体">
    <w:panose1 w:val="02010609060101010101"/>
    <w:charset w:val="86"/>
    <w:family w:val="modern"/>
    <w:pitch w:val="fixed"/>
    <w:sig w:usb0="800002BF" w:usb1="38CF7CFA" w:usb2="00000016" w:usb3="00000000" w:csb0="00040001" w:csb1="00000000"/>
    <w:embedRegular r:id="rId4" w:subsetted="1" w:fontKey="{DD0DAE11-55EA-45D3-92AA-3BF05CAB92D8}"/>
  </w:font>
  <w:font w:name="楷体_GB2312">
    <w:altName w:val="楷体"/>
    <w:charset w:val="86"/>
    <w:family w:val="modern"/>
    <w:pitch w:val="default"/>
    <w:sig w:usb0="00000001" w:usb1="080E0000" w:usb2="00000000" w:usb3="00000000" w:csb0="00040000" w:csb1="00000000"/>
    <w:embedRegular r:id="rId5" w:fontKey="{1494F777-534F-4F3A-9056-942F42629C31}"/>
  </w:font>
  <w:font w:name="方正仿宋_GBK">
    <w:charset w:val="86"/>
    <w:family w:val="script"/>
    <w:pitch w:val="default"/>
    <w:sig w:usb0="A00002BF" w:usb1="38CF7CFA" w:usb2="00082016" w:usb3="00000000" w:csb0="00040001" w:csb1="00000000"/>
    <w:embedRegular r:id="rId6" w:subsetted="1" w:fontKey="{0DAE4AF4-E6BE-47AA-A6CE-F375E8B82367}"/>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47" w:rsidRDefault="00AE56B5">
    <w:pPr>
      <w:pStyle w:val="a9"/>
      <w:framePr w:wrap="around" w:vAnchor="text" w:hAnchor="margin" w:xAlign="outside" w:y="1"/>
      <w:rPr>
        <w:rStyle w:val="af"/>
      </w:rPr>
    </w:pPr>
    <w:r>
      <w:fldChar w:fldCharType="begin"/>
    </w:r>
    <w:r>
      <w:rPr>
        <w:rStyle w:val="af"/>
      </w:rPr>
      <w:instrText xml:space="preserve">PAGE  </w:instrText>
    </w:r>
    <w:r>
      <w:fldChar w:fldCharType="separate"/>
    </w:r>
    <w:r>
      <w:rPr>
        <w:rStyle w:val="af"/>
      </w:rPr>
      <w:t>2</w:t>
    </w:r>
    <w:r>
      <w:fldChar w:fldCharType="end"/>
    </w:r>
  </w:p>
  <w:p w:rsidR="005D0947" w:rsidRDefault="00AE56B5">
    <w:pPr>
      <w:pStyle w:val="a9"/>
      <w:ind w:right="360" w:firstLine="360"/>
      <w:jc w:val="center"/>
      <w:rPr>
        <w:rFonts w:ascii="方正仿宋_GBK" w:eastAsia="方正仿宋_GBK"/>
        <w:sz w:val="24"/>
        <w:szCs w:val="24"/>
      </w:rPr>
    </w:pPr>
    <w:r>
      <w:rPr>
        <w:rStyle w:val="af"/>
        <w:rFonts w:ascii="方正仿宋_GBK" w:eastAsia="方正仿宋_GBK" w:hint="eastAsia"/>
        <w:sz w:val="24"/>
        <w:szCs w:val="24"/>
      </w:rPr>
      <w:t>－</w:t>
    </w:r>
    <w:r>
      <w:rPr>
        <w:rStyle w:val="af"/>
        <w:rFonts w:ascii="方正仿宋_GBK" w:eastAsia="方正仿宋_GBK" w:hint="eastAsia"/>
        <w:sz w:val="24"/>
        <w:szCs w:val="24"/>
      </w:rPr>
      <w:t xml:space="preserve">  </w:t>
    </w:r>
    <w:r>
      <w:rPr>
        <w:rStyle w:val="af"/>
        <w:rFonts w:ascii="方正仿宋_GBK" w:eastAsia="方正仿宋_GBK" w:hint="eastAs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47" w:rsidRDefault="00AE56B5">
    <w:pPr>
      <w:pStyle w:val="a9"/>
      <w:framePr w:wrap="around" w:vAnchor="text" w:hAnchor="margin" w:xAlign="outside" w:y="1"/>
      <w:rPr>
        <w:rStyle w:val="af"/>
        <w:rFonts w:ascii="宋体" w:hAnsi="宋体"/>
        <w:sz w:val="28"/>
        <w:szCs w:val="28"/>
      </w:rPr>
    </w:pPr>
    <w:r>
      <w:rPr>
        <w:rFonts w:ascii="宋体" w:hAnsi="宋体"/>
        <w:sz w:val="28"/>
        <w:szCs w:val="28"/>
      </w:rPr>
      <w:fldChar w:fldCharType="begin"/>
    </w:r>
    <w:r>
      <w:rPr>
        <w:rStyle w:val="af"/>
        <w:rFonts w:ascii="宋体" w:hAnsi="宋体"/>
        <w:sz w:val="28"/>
        <w:szCs w:val="28"/>
      </w:rPr>
      <w:instrText xml:space="preserve">PAGE  </w:instrText>
    </w:r>
    <w:r>
      <w:rPr>
        <w:rFonts w:ascii="宋体" w:hAnsi="宋体"/>
        <w:sz w:val="28"/>
        <w:szCs w:val="28"/>
      </w:rPr>
      <w:fldChar w:fldCharType="separate"/>
    </w:r>
    <w:r w:rsidR="00E10001">
      <w:rPr>
        <w:rStyle w:val="af"/>
        <w:rFonts w:ascii="宋体" w:hAnsi="宋体"/>
        <w:noProof/>
        <w:sz w:val="28"/>
        <w:szCs w:val="28"/>
      </w:rPr>
      <w:t>- 1 -</w:t>
    </w:r>
    <w:r>
      <w:rPr>
        <w:rFonts w:ascii="宋体" w:hAnsi="宋体"/>
        <w:sz w:val="28"/>
        <w:szCs w:val="28"/>
      </w:rPr>
      <w:fldChar w:fldCharType="end"/>
    </w:r>
  </w:p>
  <w:p w:rsidR="005D0947" w:rsidRDefault="005D0947">
    <w:pPr>
      <w:pStyle w:val="a9"/>
      <w:ind w:right="360" w:firstLine="360"/>
      <w:jc w:val="center"/>
      <w:rPr>
        <w:rFonts w:ascii="方正仿宋_GBK" w:eastAsia="方正仿宋_GBK"/>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6B5" w:rsidRDefault="00AE56B5">
      <w:r>
        <w:separator/>
      </w:r>
    </w:p>
  </w:footnote>
  <w:footnote w:type="continuationSeparator" w:id="0">
    <w:p w:rsidR="00AE56B5" w:rsidRDefault="00AE5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31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E30"/>
    <w:rsid w:val="00011096"/>
    <w:rsid w:val="000127D8"/>
    <w:rsid w:val="00021B17"/>
    <w:rsid w:val="000244E8"/>
    <w:rsid w:val="000278C1"/>
    <w:rsid w:val="00035934"/>
    <w:rsid w:val="000440B5"/>
    <w:rsid w:val="0006392C"/>
    <w:rsid w:val="00097420"/>
    <w:rsid w:val="00097957"/>
    <w:rsid w:val="000E18FB"/>
    <w:rsid w:val="00104224"/>
    <w:rsid w:val="00107D5C"/>
    <w:rsid w:val="00112F47"/>
    <w:rsid w:val="00117B4D"/>
    <w:rsid w:val="00131491"/>
    <w:rsid w:val="0013579B"/>
    <w:rsid w:val="00140EEA"/>
    <w:rsid w:val="00141056"/>
    <w:rsid w:val="001506A8"/>
    <w:rsid w:val="00162196"/>
    <w:rsid w:val="0017243A"/>
    <w:rsid w:val="001752EA"/>
    <w:rsid w:val="00180409"/>
    <w:rsid w:val="001B2ED7"/>
    <w:rsid w:val="001D0026"/>
    <w:rsid w:val="001D30A4"/>
    <w:rsid w:val="001D58E7"/>
    <w:rsid w:val="001E0537"/>
    <w:rsid w:val="001E3EB7"/>
    <w:rsid w:val="001E6879"/>
    <w:rsid w:val="001F27A6"/>
    <w:rsid w:val="001F48C5"/>
    <w:rsid w:val="00201202"/>
    <w:rsid w:val="00201994"/>
    <w:rsid w:val="002109AF"/>
    <w:rsid w:val="00225DEC"/>
    <w:rsid w:val="002439DC"/>
    <w:rsid w:val="00250DFA"/>
    <w:rsid w:val="00251BC5"/>
    <w:rsid w:val="002638D6"/>
    <w:rsid w:val="002777C0"/>
    <w:rsid w:val="002808A6"/>
    <w:rsid w:val="0028117C"/>
    <w:rsid w:val="00282189"/>
    <w:rsid w:val="00290B4D"/>
    <w:rsid w:val="002B265F"/>
    <w:rsid w:val="002C5CB3"/>
    <w:rsid w:val="00314564"/>
    <w:rsid w:val="003210E9"/>
    <w:rsid w:val="00325601"/>
    <w:rsid w:val="00330ABB"/>
    <w:rsid w:val="00330C73"/>
    <w:rsid w:val="003431CA"/>
    <w:rsid w:val="00347574"/>
    <w:rsid w:val="00353E30"/>
    <w:rsid w:val="003676BF"/>
    <w:rsid w:val="0037288B"/>
    <w:rsid w:val="003A4F71"/>
    <w:rsid w:val="003A59D6"/>
    <w:rsid w:val="003D6D6A"/>
    <w:rsid w:val="003F59DF"/>
    <w:rsid w:val="00412FB1"/>
    <w:rsid w:val="00414B3F"/>
    <w:rsid w:val="0041700A"/>
    <w:rsid w:val="0042336A"/>
    <w:rsid w:val="00427E1D"/>
    <w:rsid w:val="00432C4E"/>
    <w:rsid w:val="004434E3"/>
    <w:rsid w:val="0045386E"/>
    <w:rsid w:val="00472739"/>
    <w:rsid w:val="004A4F99"/>
    <w:rsid w:val="004D0C45"/>
    <w:rsid w:val="005074C3"/>
    <w:rsid w:val="00511607"/>
    <w:rsid w:val="005116E9"/>
    <w:rsid w:val="005162F4"/>
    <w:rsid w:val="00553258"/>
    <w:rsid w:val="00555DF4"/>
    <w:rsid w:val="005A1D52"/>
    <w:rsid w:val="005C09D0"/>
    <w:rsid w:val="005C752B"/>
    <w:rsid w:val="005D0947"/>
    <w:rsid w:val="005D0BA4"/>
    <w:rsid w:val="005E68D5"/>
    <w:rsid w:val="006049DC"/>
    <w:rsid w:val="006240DC"/>
    <w:rsid w:val="006273B6"/>
    <w:rsid w:val="00634C2A"/>
    <w:rsid w:val="00641D80"/>
    <w:rsid w:val="006551FA"/>
    <w:rsid w:val="006617F5"/>
    <w:rsid w:val="00664E6A"/>
    <w:rsid w:val="006835D0"/>
    <w:rsid w:val="00696B20"/>
    <w:rsid w:val="006B5F11"/>
    <w:rsid w:val="006C5E80"/>
    <w:rsid w:val="006E7D8D"/>
    <w:rsid w:val="00703073"/>
    <w:rsid w:val="00705550"/>
    <w:rsid w:val="007172D6"/>
    <w:rsid w:val="007229B1"/>
    <w:rsid w:val="00741AAE"/>
    <w:rsid w:val="00752774"/>
    <w:rsid w:val="00771F9F"/>
    <w:rsid w:val="00773E7A"/>
    <w:rsid w:val="0079472E"/>
    <w:rsid w:val="007A3D9D"/>
    <w:rsid w:val="007C33EE"/>
    <w:rsid w:val="007D6F41"/>
    <w:rsid w:val="007E1BF6"/>
    <w:rsid w:val="007E1E8A"/>
    <w:rsid w:val="007F75C6"/>
    <w:rsid w:val="00804999"/>
    <w:rsid w:val="00821266"/>
    <w:rsid w:val="00821DBF"/>
    <w:rsid w:val="00824B8F"/>
    <w:rsid w:val="00826EAF"/>
    <w:rsid w:val="00833E00"/>
    <w:rsid w:val="00836257"/>
    <w:rsid w:val="008409D1"/>
    <w:rsid w:val="008439EA"/>
    <w:rsid w:val="00855D12"/>
    <w:rsid w:val="00862155"/>
    <w:rsid w:val="008739B8"/>
    <w:rsid w:val="00881F85"/>
    <w:rsid w:val="008B0745"/>
    <w:rsid w:val="008B1B15"/>
    <w:rsid w:val="008B439E"/>
    <w:rsid w:val="008B7E82"/>
    <w:rsid w:val="008D16C7"/>
    <w:rsid w:val="008D3E74"/>
    <w:rsid w:val="008D6FCB"/>
    <w:rsid w:val="008E1C58"/>
    <w:rsid w:val="008F0CD3"/>
    <w:rsid w:val="008F230E"/>
    <w:rsid w:val="008F380F"/>
    <w:rsid w:val="00903B15"/>
    <w:rsid w:val="00910579"/>
    <w:rsid w:val="00926800"/>
    <w:rsid w:val="00927C7A"/>
    <w:rsid w:val="009411DF"/>
    <w:rsid w:val="0094305C"/>
    <w:rsid w:val="00962130"/>
    <w:rsid w:val="009763D6"/>
    <w:rsid w:val="00980931"/>
    <w:rsid w:val="0098625D"/>
    <w:rsid w:val="009A5DAF"/>
    <w:rsid w:val="009A65DE"/>
    <w:rsid w:val="009A7CEE"/>
    <w:rsid w:val="009A7D08"/>
    <w:rsid w:val="009B22EF"/>
    <w:rsid w:val="009C353B"/>
    <w:rsid w:val="009D3B2A"/>
    <w:rsid w:val="009F4BE6"/>
    <w:rsid w:val="00A049AC"/>
    <w:rsid w:val="00A12D92"/>
    <w:rsid w:val="00A13AED"/>
    <w:rsid w:val="00A16183"/>
    <w:rsid w:val="00A44DB2"/>
    <w:rsid w:val="00A45B07"/>
    <w:rsid w:val="00A47495"/>
    <w:rsid w:val="00A61A54"/>
    <w:rsid w:val="00A838F7"/>
    <w:rsid w:val="00AA545A"/>
    <w:rsid w:val="00AA5BD4"/>
    <w:rsid w:val="00AC4A06"/>
    <w:rsid w:val="00AE2B23"/>
    <w:rsid w:val="00AE56B5"/>
    <w:rsid w:val="00AF5746"/>
    <w:rsid w:val="00B152CE"/>
    <w:rsid w:val="00B238C8"/>
    <w:rsid w:val="00B667E7"/>
    <w:rsid w:val="00B7407D"/>
    <w:rsid w:val="00B801A9"/>
    <w:rsid w:val="00B91E4F"/>
    <w:rsid w:val="00B92FCE"/>
    <w:rsid w:val="00BB456B"/>
    <w:rsid w:val="00BE1ED7"/>
    <w:rsid w:val="00BE3538"/>
    <w:rsid w:val="00BF592B"/>
    <w:rsid w:val="00C162A9"/>
    <w:rsid w:val="00C35C3F"/>
    <w:rsid w:val="00C62434"/>
    <w:rsid w:val="00C7085A"/>
    <w:rsid w:val="00C70F56"/>
    <w:rsid w:val="00C71AB1"/>
    <w:rsid w:val="00CB1153"/>
    <w:rsid w:val="00CD5016"/>
    <w:rsid w:val="00CE5293"/>
    <w:rsid w:val="00CF1166"/>
    <w:rsid w:val="00D01D9F"/>
    <w:rsid w:val="00D33247"/>
    <w:rsid w:val="00D35569"/>
    <w:rsid w:val="00D42431"/>
    <w:rsid w:val="00D4260E"/>
    <w:rsid w:val="00D51FB3"/>
    <w:rsid w:val="00D66EDF"/>
    <w:rsid w:val="00D84342"/>
    <w:rsid w:val="00DA2753"/>
    <w:rsid w:val="00DB7EC5"/>
    <w:rsid w:val="00DD12E6"/>
    <w:rsid w:val="00DE451F"/>
    <w:rsid w:val="00DE4E94"/>
    <w:rsid w:val="00DE532F"/>
    <w:rsid w:val="00E03FE0"/>
    <w:rsid w:val="00E0503F"/>
    <w:rsid w:val="00E07A9D"/>
    <w:rsid w:val="00E10001"/>
    <w:rsid w:val="00E3729B"/>
    <w:rsid w:val="00E660AB"/>
    <w:rsid w:val="00E72758"/>
    <w:rsid w:val="00EA26E0"/>
    <w:rsid w:val="00EA2DE2"/>
    <w:rsid w:val="00EB5174"/>
    <w:rsid w:val="00EB7A11"/>
    <w:rsid w:val="00ED2C06"/>
    <w:rsid w:val="00ED6433"/>
    <w:rsid w:val="00EE56E2"/>
    <w:rsid w:val="00EF051D"/>
    <w:rsid w:val="00EF31E9"/>
    <w:rsid w:val="00F23E8D"/>
    <w:rsid w:val="00F3123F"/>
    <w:rsid w:val="00F31E91"/>
    <w:rsid w:val="00F419F2"/>
    <w:rsid w:val="00F4693E"/>
    <w:rsid w:val="00F53485"/>
    <w:rsid w:val="00F62751"/>
    <w:rsid w:val="00F66E20"/>
    <w:rsid w:val="00F73420"/>
    <w:rsid w:val="00F85D8B"/>
    <w:rsid w:val="00FD6AA1"/>
    <w:rsid w:val="00FF5151"/>
    <w:rsid w:val="1CE10668"/>
    <w:rsid w:val="2DD7773E"/>
    <w:rsid w:val="306B4E9C"/>
    <w:rsid w:val="3F1365FE"/>
    <w:rsid w:val="5BBC65B0"/>
    <w:rsid w:val="71B04B2F"/>
    <w:rsid w:val="7F3F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4D98CAF7"/>
  <w15:docId w15:val="{D63DBF41-154F-45A0-BDF3-1E2CB79B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1"/>
    <w:link w:val="30"/>
    <w:uiPriority w:val="9"/>
    <w:unhideWhenUsed/>
    <w:qFormat/>
    <w:pPr>
      <w:autoSpaceDE w:val="0"/>
      <w:autoSpaceDN w:val="0"/>
      <w:spacing w:line="520" w:lineRule="exact"/>
      <w:ind w:leftChars="300" w:left="300"/>
      <w:jc w:val="left"/>
      <w:outlineLvl w:val="2"/>
    </w:pPr>
    <w:rPr>
      <w:rFonts w:ascii="宋体" w:eastAsia="仿宋" w:hAnsi="宋体" w:hint="eastAsia"/>
      <w:kern w:val="0"/>
      <w:sz w:val="32"/>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djustRightInd w:val="0"/>
      <w:spacing w:line="312" w:lineRule="atLeast"/>
      <w:ind w:firstLine="420"/>
      <w:textAlignment w:val="baseline"/>
    </w:pPr>
    <w:rPr>
      <w:kern w:val="0"/>
      <w:szCs w:val="20"/>
    </w:rPr>
  </w:style>
  <w:style w:type="paragraph" w:styleId="a4">
    <w:name w:val="caption"/>
    <w:basedOn w:val="a"/>
    <w:next w:val="a3"/>
    <w:uiPriority w:val="99"/>
    <w:qFormat/>
    <w:pPr>
      <w:spacing w:before="152" w:after="160"/>
      <w:jc w:val="center"/>
    </w:pPr>
    <w:rPr>
      <w:rFonts w:ascii="Arial" w:eastAsia="黑体" w:hAnsi="Arial" w:cs="Arial"/>
      <w:sz w:val="20"/>
      <w:szCs w:val="20"/>
    </w:rPr>
  </w:style>
  <w:style w:type="paragraph" w:styleId="a5">
    <w:name w:val="annotation text"/>
    <w:basedOn w:val="a"/>
    <w:link w:val="a6"/>
    <w:uiPriority w:val="99"/>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character" w:styleId="af">
    <w:name w:val="page number"/>
    <w:qFormat/>
  </w:style>
  <w:style w:type="character" w:styleId="af0">
    <w:name w:val="line number"/>
    <w:basedOn w:val="a0"/>
    <w:uiPriority w:val="99"/>
    <w:semiHidden/>
    <w:unhideWhenUsed/>
    <w:qFormat/>
  </w:style>
  <w:style w:type="character" w:styleId="af1">
    <w:name w:val="annotation reference"/>
    <w:basedOn w:val="a0"/>
    <w:uiPriority w:val="99"/>
    <w:semiHidden/>
    <w:unhideWhenUsed/>
    <w:qFormat/>
    <w:rPr>
      <w:sz w:val="21"/>
      <w:szCs w:val="21"/>
    </w:rPr>
  </w:style>
  <w:style w:type="character" w:customStyle="1" w:styleId="Char">
    <w:name w:val="批注文字 Char"/>
    <w:basedOn w:val="a0"/>
    <w:uiPriority w:val="99"/>
    <w:semiHidden/>
    <w:qFormat/>
    <w:rPr>
      <w:rFonts w:ascii="Times New Roman" w:eastAsia="宋体" w:hAnsi="Times New Roman" w:cs="Times New Roman"/>
      <w:szCs w:val="24"/>
    </w:rPr>
  </w:style>
  <w:style w:type="character" w:customStyle="1" w:styleId="a6">
    <w:name w:val="批注文字 字符"/>
    <w:link w:val="a5"/>
    <w:uiPriority w:val="99"/>
    <w:qFormat/>
    <w:rPr>
      <w:rFonts w:ascii="Times New Roman" w:eastAsia="宋体" w:hAnsi="Times New Roman" w:cs="Times New Roman"/>
      <w:szCs w:val="24"/>
    </w:rPr>
  </w:style>
  <w:style w:type="character" w:customStyle="1" w:styleId="Char0">
    <w:name w:val="页脚 Char"/>
    <w:basedOn w:val="a0"/>
    <w:uiPriority w:val="99"/>
    <w:semiHidden/>
    <w:qFormat/>
    <w:rPr>
      <w:rFonts w:ascii="Times New Roman" w:eastAsia="宋体" w:hAnsi="Times New Roman" w:cs="Times New Roman"/>
      <w:sz w:val="18"/>
      <w:szCs w:val="18"/>
    </w:rPr>
  </w:style>
  <w:style w:type="character" w:customStyle="1" w:styleId="aa">
    <w:name w:val="页脚 字符"/>
    <w:link w:val="a9"/>
    <w:uiPriority w:val="99"/>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e">
    <w:name w:val="批注主题 字符"/>
    <w:basedOn w:val="a6"/>
    <w:link w:val="ad"/>
    <w:uiPriority w:val="99"/>
    <w:semiHidden/>
    <w:qFormat/>
    <w:rPr>
      <w:rFonts w:ascii="Times New Roman" w:eastAsia="宋体" w:hAnsi="Times New Roman" w:cs="Times New Roman"/>
      <w:b/>
      <w:bCs/>
      <w:szCs w:val="24"/>
    </w:rPr>
  </w:style>
  <w:style w:type="character" w:customStyle="1" w:styleId="30">
    <w:name w:val="标题 3 字符"/>
    <w:basedOn w:val="a0"/>
    <w:link w:val="3"/>
    <w:uiPriority w:val="9"/>
    <w:qFormat/>
    <w:rPr>
      <w:rFonts w:ascii="宋体" w:eastAsia="仿宋" w:hAnsi="宋体" w:cs="Times New Roman"/>
      <w:kern w:val="0"/>
      <w:sz w:val="32"/>
      <w:szCs w:val="27"/>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styleId="af2">
    <w:name w:val="No Spacing"/>
    <w:uiPriority w:val="1"/>
    <w:qFormat/>
    <w:pPr>
      <w:adjustRightInd w:val="0"/>
      <w:snapToGrid w:val="0"/>
    </w:pPr>
    <w:rPr>
      <w:rFonts w:ascii="Tahoma" w:eastAsia="微软雅黑" w:hAnsi="Tahoma" w:cs="Times New Roman"/>
      <w:sz w:val="22"/>
      <w:szCs w:val="22"/>
    </w:rPr>
  </w:style>
  <w:style w:type="paragraph" w:customStyle="1" w:styleId="Default">
    <w:name w:val="Default"/>
    <w:uiPriority w:val="99"/>
    <w:unhideWhenUsed/>
    <w:qFormat/>
    <w:pPr>
      <w:widowControl w:val="0"/>
      <w:autoSpaceDE w:val="0"/>
      <w:autoSpaceDN w:val="0"/>
      <w:adjustRightInd w:val="0"/>
    </w:pPr>
    <w:rPr>
      <w:rFonts w:ascii="Calibri" w:eastAsia="Times New Roman" w:hAnsi="Calibri" w:cs="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18</Pages>
  <Words>1265</Words>
  <Characters>7212</Characters>
  <Application>Microsoft Office Word</Application>
  <DocSecurity>0</DocSecurity>
  <Lines>60</Lines>
  <Paragraphs>16</Paragraphs>
  <ScaleCrop>false</ScaleCrop>
  <Company>微软中国</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张诺</cp:lastModifiedBy>
  <cp:revision>2</cp:revision>
  <cp:lastPrinted>2024-07-22T13:10:00Z</cp:lastPrinted>
  <dcterms:created xsi:type="dcterms:W3CDTF">2025-05-30T16:10:00Z</dcterms:created>
  <dcterms:modified xsi:type="dcterms:W3CDTF">2025-09-01T08:17:00Z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DE1C9F47EEAD45E594CF25100C4116D0_12</vt:lpwstr>
  </property>
  <property fmtid="{D5CDD505-2E9C-101B-9397-08002B2CF9AE}" pid="4" name="KSOTemplateDocerSaveRecord">
    <vt:lpwstr>eyJoZGlkIjoiZDMzNTllZDU5MjEyOTNiM2I5ZjU1MWVjOTgwNDdmYzUiLCJ1c2VySWQiOiI0MDY1MjEwNzgifQ==</vt:lpwstr>
  </property>
</Properties>
</file>